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D9696" w14:textId="7600DE6F" w:rsidR="00B46A87" w:rsidRDefault="00B46A87">
      <w:bookmarkStart w:id="0" w:name="_GoBack"/>
      <w:bookmarkEnd w:id="0"/>
    </w:p>
    <w:p w14:paraId="6E266979" w14:textId="3B86EF68" w:rsidR="00CD5E54" w:rsidRDefault="00CD5E54">
      <w:pPr>
        <w:ind w:firstLine="426"/>
        <w:jc w:val="right"/>
        <w:rPr>
          <w:color w:val="auto"/>
          <w:lang w:val="en-US"/>
        </w:rPr>
      </w:pPr>
      <w:r w:rsidRPr="00CD5E54">
        <w:rPr>
          <w:color w:val="auto"/>
          <w:lang w:val="en-US"/>
        </w:rPr>
        <w:t xml:space="preserve">APPROVED </w:t>
      </w:r>
    </w:p>
    <w:p w14:paraId="42162D56" w14:textId="77777777" w:rsidR="00CD5E54" w:rsidRDefault="00CD5E54">
      <w:pPr>
        <w:ind w:firstLine="426"/>
        <w:jc w:val="right"/>
        <w:rPr>
          <w:color w:val="auto"/>
          <w:lang w:val="en-US"/>
        </w:rPr>
      </w:pPr>
      <w:r w:rsidRPr="00CD5E54">
        <w:rPr>
          <w:color w:val="auto"/>
          <w:lang w:val="en-US"/>
        </w:rPr>
        <w:t xml:space="preserve">by decision of Board of Directors </w:t>
      </w:r>
    </w:p>
    <w:p w14:paraId="19BE24F4" w14:textId="77777777" w:rsidR="00CD5E54" w:rsidRDefault="00CD5E54">
      <w:pPr>
        <w:ind w:firstLine="426"/>
        <w:jc w:val="right"/>
        <w:rPr>
          <w:color w:val="auto"/>
          <w:lang w:val="en-US"/>
        </w:rPr>
      </w:pPr>
      <w:r w:rsidRPr="00CD5E54">
        <w:rPr>
          <w:color w:val="auto"/>
          <w:lang w:val="en-US"/>
        </w:rPr>
        <w:t xml:space="preserve">of Damu Entrepreneurship </w:t>
      </w:r>
    </w:p>
    <w:p w14:paraId="209E471C" w14:textId="67D60D03" w:rsidR="00014C1A" w:rsidRDefault="00CD5E54">
      <w:pPr>
        <w:ind w:firstLine="426"/>
        <w:jc w:val="right"/>
        <w:rPr>
          <w:color w:val="auto"/>
          <w:lang w:val="en-US"/>
        </w:rPr>
      </w:pPr>
      <w:r w:rsidRPr="00CD5E54">
        <w:rPr>
          <w:color w:val="auto"/>
          <w:lang w:val="en-US"/>
        </w:rPr>
        <w:t>Development Fund</w:t>
      </w:r>
    </w:p>
    <w:p w14:paraId="2C969A59" w14:textId="77777777" w:rsidR="00CD5E54" w:rsidRPr="000F33EB" w:rsidRDefault="00CD5E54">
      <w:pPr>
        <w:ind w:firstLine="426"/>
        <w:jc w:val="right"/>
        <w:rPr>
          <w:color w:val="auto"/>
          <w:lang w:val="en-US"/>
        </w:rPr>
      </w:pPr>
    </w:p>
    <w:p w14:paraId="1F599C49" w14:textId="77777777" w:rsidR="00CD5E54" w:rsidRDefault="00CD5E54">
      <w:pPr>
        <w:ind w:firstLine="426"/>
        <w:jc w:val="right"/>
        <w:rPr>
          <w:color w:val="auto"/>
          <w:lang w:val="en-US"/>
        </w:rPr>
      </w:pPr>
      <w:r w:rsidRPr="00CD5E54">
        <w:rPr>
          <w:color w:val="auto"/>
          <w:lang w:val="en-US"/>
        </w:rPr>
        <w:t xml:space="preserve">Appendix No. __ </w:t>
      </w:r>
    </w:p>
    <w:p w14:paraId="22768DCA" w14:textId="77777777" w:rsidR="00CD5E54" w:rsidRDefault="00CD5E54">
      <w:pPr>
        <w:ind w:firstLine="426"/>
        <w:jc w:val="right"/>
        <w:rPr>
          <w:color w:val="auto"/>
          <w:lang w:val="en-US"/>
        </w:rPr>
      </w:pPr>
      <w:r w:rsidRPr="00CD5E54">
        <w:rPr>
          <w:color w:val="auto"/>
          <w:lang w:val="en-US"/>
        </w:rPr>
        <w:t xml:space="preserve">to Minutes of the Meeting of the Board </w:t>
      </w:r>
    </w:p>
    <w:p w14:paraId="23CA4AF5" w14:textId="77777777" w:rsidR="00CD5E54" w:rsidRDefault="00CD5E54">
      <w:pPr>
        <w:ind w:firstLine="426"/>
        <w:jc w:val="right"/>
        <w:rPr>
          <w:color w:val="auto"/>
          <w:lang w:val="en-US"/>
        </w:rPr>
      </w:pPr>
      <w:r w:rsidRPr="00CD5E54">
        <w:rPr>
          <w:color w:val="auto"/>
          <w:lang w:val="en-US"/>
        </w:rPr>
        <w:t>of Directors of Damu Entrepreneurship</w:t>
      </w:r>
    </w:p>
    <w:p w14:paraId="7C1C4725" w14:textId="77777777" w:rsidR="00CD5E54" w:rsidRDefault="00CD5E54">
      <w:pPr>
        <w:ind w:firstLine="426"/>
        <w:jc w:val="right"/>
        <w:rPr>
          <w:color w:val="auto"/>
          <w:lang w:val="en-US"/>
        </w:rPr>
      </w:pPr>
      <w:r w:rsidRPr="00CD5E54">
        <w:rPr>
          <w:color w:val="auto"/>
          <w:lang w:val="en-US"/>
        </w:rPr>
        <w:t xml:space="preserve"> Development Fund Joint-Stock Company </w:t>
      </w:r>
    </w:p>
    <w:p w14:paraId="13D1AB82" w14:textId="22AA58C5" w:rsidR="00014C1A" w:rsidRPr="000F33EB" w:rsidRDefault="00CD5E54">
      <w:pPr>
        <w:ind w:firstLine="426"/>
        <w:jc w:val="right"/>
        <w:rPr>
          <w:color w:val="auto"/>
          <w:lang w:val="en-US"/>
        </w:rPr>
      </w:pPr>
      <w:r w:rsidRPr="00CD5E54">
        <w:rPr>
          <w:color w:val="auto"/>
          <w:lang w:val="en-US"/>
        </w:rPr>
        <w:t>dated November 29, 2023, No. 10/2023</w:t>
      </w:r>
    </w:p>
    <w:p w14:paraId="6DAD6288" w14:textId="77777777" w:rsidR="00014C1A" w:rsidRPr="000F33EB" w:rsidRDefault="00014C1A">
      <w:pPr>
        <w:ind w:firstLine="426"/>
        <w:jc w:val="right"/>
        <w:rPr>
          <w:color w:val="auto"/>
          <w:lang w:val="en-US"/>
        </w:rPr>
      </w:pPr>
    </w:p>
    <w:p w14:paraId="230770CF" w14:textId="0916D9CB" w:rsidR="00014C1A" w:rsidRPr="000F33EB" w:rsidRDefault="00CD5E54">
      <w:pPr>
        <w:jc w:val="center"/>
        <w:rPr>
          <w:color w:val="auto"/>
          <w:lang w:val="en-US"/>
        </w:rPr>
      </w:pPr>
      <w:r w:rsidRPr="00CD5E54">
        <w:rPr>
          <w:rStyle w:val="s1"/>
          <w:color w:val="auto"/>
          <w:lang w:val="en-US"/>
        </w:rPr>
        <w:t>Development Strategy of Damu Entrepreneurship Development Fund for 2024-2033</w:t>
      </w:r>
    </w:p>
    <w:p w14:paraId="6F7F787B" w14:textId="77777777" w:rsidR="00014C1A" w:rsidRPr="000F33EB" w:rsidRDefault="00003B0B">
      <w:pPr>
        <w:jc w:val="center"/>
        <w:rPr>
          <w:color w:val="auto"/>
          <w:lang w:val="en-US"/>
        </w:rPr>
      </w:pPr>
      <w:bookmarkStart w:id="1" w:name="ContentStart"/>
      <w:bookmarkEnd w:id="1"/>
      <w:r w:rsidRPr="000F33EB">
        <w:rPr>
          <w:rStyle w:val="s1"/>
          <w:color w:val="auto"/>
          <w:lang w:val="en-US"/>
        </w:rPr>
        <w:t>CONTENT</w:t>
      </w:r>
    </w:p>
    <w:p w14:paraId="083E0B3C" w14:textId="77777777" w:rsidR="00014C1A" w:rsidRPr="000F33EB" w:rsidRDefault="00014C1A">
      <w:pPr>
        <w:rPr>
          <w:color w:val="auto"/>
          <w:lang w:val="en-US"/>
        </w:rPr>
      </w:pPr>
    </w:p>
    <w:p w14:paraId="4F41BCB6" w14:textId="77777777" w:rsidR="00014C1A" w:rsidRPr="000F33EB" w:rsidRDefault="00290D4E" w:rsidP="006C0732">
      <w:pPr>
        <w:spacing w:after="120"/>
        <w:ind w:firstLine="426"/>
        <w:jc w:val="both"/>
        <w:rPr>
          <w:b/>
          <w:color w:val="auto"/>
          <w:lang w:val="en-US"/>
        </w:rPr>
      </w:pPr>
      <w:hyperlink w:anchor="sub10" w:history="1">
        <w:r w:rsidR="00F51082" w:rsidRPr="000F33EB">
          <w:rPr>
            <w:rStyle w:val="a5"/>
            <w:b/>
            <w:color w:val="auto"/>
            <w:u w:val="none"/>
            <w:lang w:val="en-US"/>
          </w:rPr>
          <w:t>INTRODUCTION</w:t>
        </w:r>
      </w:hyperlink>
    </w:p>
    <w:p w14:paraId="669B73A7" w14:textId="77777777" w:rsidR="00CD5E54" w:rsidRDefault="00CD5E54" w:rsidP="006C0732">
      <w:pPr>
        <w:ind w:firstLine="851"/>
        <w:jc w:val="both"/>
        <w:rPr>
          <w:rStyle w:val="a5"/>
          <w:b/>
          <w:color w:val="auto"/>
          <w:u w:val="none"/>
          <w:lang w:val="en-US"/>
        </w:rPr>
      </w:pPr>
      <w:r w:rsidRPr="00CD5E54">
        <w:rPr>
          <w:rStyle w:val="a5"/>
          <w:b/>
          <w:color w:val="auto"/>
          <w:u w:val="none"/>
          <w:lang w:val="en-US"/>
        </w:rPr>
        <w:t>Chapter 1. Analysis of the current state of the Damu Fund: analysis of the external environment</w:t>
      </w:r>
    </w:p>
    <w:p w14:paraId="736E4BAF" w14:textId="1F4E3B3B" w:rsidR="00014C1A" w:rsidRPr="00CD5E54" w:rsidRDefault="00B21A0B" w:rsidP="006C0732">
      <w:pPr>
        <w:ind w:firstLine="851"/>
        <w:jc w:val="both"/>
        <w:rPr>
          <w:rStyle w:val="a5"/>
          <w:color w:val="auto"/>
          <w:u w:val="none"/>
          <w:lang w:val="en-US"/>
        </w:rPr>
      </w:pPr>
      <w:r w:rsidRPr="000F33EB">
        <w:rPr>
          <w:rStyle w:val="a5"/>
          <w:color w:val="auto"/>
          <w:u w:val="none"/>
          <w:lang w:val="en-US"/>
        </w:rPr>
        <w:t>Paragraph</w:t>
      </w:r>
      <w:r w:rsidR="00CD5E54">
        <w:rPr>
          <w:lang w:val="en-US"/>
        </w:rPr>
        <w:t xml:space="preserve"> 1. </w:t>
      </w:r>
      <w:r w:rsidR="00CD5E54" w:rsidRPr="00CD5E54">
        <w:rPr>
          <w:lang w:val="en-US"/>
        </w:rPr>
        <w:t xml:space="preserve">The scale of the </w:t>
      </w:r>
      <w:r w:rsidR="00CD5E54">
        <w:rPr>
          <w:lang w:val="en-US"/>
        </w:rPr>
        <w:t>MSME</w:t>
      </w:r>
      <w:r w:rsidR="00CD5E54" w:rsidRPr="00CD5E54">
        <w:rPr>
          <w:lang w:val="en-US"/>
        </w:rPr>
        <w:t xml:space="preserve"> sector and the dynamics of its development</w:t>
      </w:r>
      <w:r w:rsidR="00CD5E54" w:rsidRPr="00CD5E54">
        <w:rPr>
          <w:rStyle w:val="a5"/>
          <w:color w:val="auto"/>
          <w:u w:val="none"/>
          <w:lang w:val="en-US"/>
        </w:rPr>
        <w:t xml:space="preserve"> </w:t>
      </w:r>
    </w:p>
    <w:p w14:paraId="695A5EA0" w14:textId="19F40A97" w:rsidR="00014C1A" w:rsidRPr="00CD5E54" w:rsidRDefault="00B21A0B" w:rsidP="00154082">
      <w:pPr>
        <w:spacing w:after="120"/>
        <w:ind w:firstLine="851"/>
        <w:jc w:val="both"/>
        <w:rPr>
          <w:rStyle w:val="a5"/>
          <w:color w:val="auto"/>
          <w:u w:val="none"/>
          <w:lang w:val="en-US"/>
        </w:rPr>
      </w:pPr>
      <w:r w:rsidRPr="000F33EB">
        <w:rPr>
          <w:rStyle w:val="a5"/>
          <w:color w:val="auto"/>
          <w:u w:val="none"/>
          <w:lang w:val="en-US"/>
        </w:rPr>
        <w:t>Paragraph</w:t>
      </w:r>
      <w:r w:rsidR="00CD5E54">
        <w:rPr>
          <w:lang w:val="en-US"/>
        </w:rPr>
        <w:t xml:space="preserve"> 2. </w:t>
      </w:r>
      <w:r w:rsidR="00CD5E54" w:rsidRPr="00CD5E54">
        <w:rPr>
          <w:lang w:val="en-US"/>
        </w:rPr>
        <w:t>The main directions of the state economic policy to support entrepreneurship</w:t>
      </w:r>
      <w:r w:rsidR="00CD5E54" w:rsidRPr="00CD5E54">
        <w:rPr>
          <w:rStyle w:val="a5"/>
          <w:color w:val="auto"/>
          <w:u w:val="none"/>
          <w:lang w:val="en-US"/>
        </w:rPr>
        <w:t xml:space="preserve"> </w:t>
      </w:r>
    </w:p>
    <w:p w14:paraId="4AED0919" w14:textId="5BF71C62" w:rsidR="00014C1A" w:rsidRPr="000F33EB" w:rsidRDefault="00B21A0B" w:rsidP="006C0732">
      <w:pPr>
        <w:ind w:firstLine="426"/>
        <w:jc w:val="both"/>
        <w:rPr>
          <w:rStyle w:val="a5"/>
          <w:color w:val="auto"/>
          <w:u w:val="none"/>
          <w:lang w:val="en-US"/>
        </w:rPr>
      </w:pPr>
      <w:r w:rsidRPr="000F33EB">
        <w:rPr>
          <w:rStyle w:val="a5"/>
          <w:b/>
          <w:color w:val="auto"/>
          <w:u w:val="none"/>
          <w:lang w:val="en-US"/>
        </w:rPr>
        <w:t>Chapter</w:t>
      </w:r>
      <w:r w:rsidR="00786955" w:rsidRPr="00786955">
        <w:rPr>
          <w:rStyle w:val="a5"/>
          <w:b/>
          <w:color w:val="auto"/>
          <w:u w:val="none"/>
          <w:lang w:val="en-US"/>
        </w:rPr>
        <w:t xml:space="preserve"> </w:t>
      </w:r>
      <w:hyperlink w:anchor="sub10400" w:history="1">
        <w:r w:rsidR="006A2CB9" w:rsidRPr="000F33EB">
          <w:rPr>
            <w:rStyle w:val="a5"/>
            <w:b/>
            <w:color w:val="auto"/>
            <w:u w:val="none"/>
            <w:lang w:val="en-US"/>
          </w:rPr>
          <w:t>2. Analysis of the current state of the Damu Fund: analysis of the internal environment</w:t>
        </w:r>
      </w:hyperlink>
    </w:p>
    <w:p w14:paraId="4EF831BD" w14:textId="77777777" w:rsidR="00CD5E54" w:rsidRPr="00CD5E54" w:rsidRDefault="00CD5E54" w:rsidP="00CD5E54">
      <w:pPr>
        <w:ind w:firstLine="851"/>
        <w:jc w:val="both"/>
        <w:rPr>
          <w:rStyle w:val="a5"/>
          <w:color w:val="auto"/>
          <w:u w:val="none"/>
          <w:lang w:val="en-US"/>
        </w:rPr>
      </w:pPr>
      <w:r w:rsidRPr="00CD5E54">
        <w:rPr>
          <w:rStyle w:val="a5"/>
          <w:color w:val="auto"/>
          <w:u w:val="none"/>
          <w:lang w:val="en-US"/>
        </w:rPr>
        <w:t>Paragraph 1. The main activities of the Fund</w:t>
      </w:r>
    </w:p>
    <w:p w14:paraId="22990ACF" w14:textId="77777777" w:rsidR="00CD5E54" w:rsidRPr="00CD5E54" w:rsidRDefault="00CD5E54" w:rsidP="00CD5E54">
      <w:pPr>
        <w:ind w:firstLine="851"/>
        <w:jc w:val="both"/>
        <w:rPr>
          <w:rStyle w:val="a5"/>
          <w:color w:val="auto"/>
          <w:u w:val="none"/>
          <w:lang w:val="en-US"/>
        </w:rPr>
      </w:pPr>
      <w:r w:rsidRPr="00CD5E54">
        <w:rPr>
          <w:rStyle w:val="a5"/>
          <w:color w:val="auto"/>
          <w:u w:val="none"/>
          <w:lang w:val="en-US"/>
        </w:rPr>
        <w:t>Paragraph 2. Benchmarking</w:t>
      </w:r>
    </w:p>
    <w:p w14:paraId="6E396C8C" w14:textId="77777777" w:rsidR="00CD5E54" w:rsidRDefault="00CD5E54" w:rsidP="00CD5E54">
      <w:pPr>
        <w:ind w:firstLine="851"/>
        <w:jc w:val="both"/>
        <w:rPr>
          <w:rStyle w:val="a5"/>
          <w:color w:val="auto"/>
          <w:u w:val="none"/>
          <w:lang w:val="en-US"/>
        </w:rPr>
      </w:pPr>
      <w:r w:rsidRPr="00CD5E54">
        <w:rPr>
          <w:rStyle w:val="a5"/>
          <w:color w:val="auto"/>
          <w:u w:val="none"/>
          <w:lang w:val="en-US"/>
        </w:rPr>
        <w:t>Paragraph 3. Analysis of the strategic key performance indicators of the Damu Fund and SWOT analysis</w:t>
      </w:r>
    </w:p>
    <w:p w14:paraId="41A8C9D1" w14:textId="00053FEF" w:rsidR="00014C1A" w:rsidRPr="00CD5E54" w:rsidRDefault="00B21A0B" w:rsidP="00CD5E54">
      <w:pPr>
        <w:spacing w:after="120"/>
        <w:ind w:firstLine="426"/>
        <w:jc w:val="both"/>
        <w:rPr>
          <w:rStyle w:val="a5"/>
          <w:color w:val="auto"/>
          <w:u w:val="none"/>
          <w:lang w:val="en-US"/>
        </w:rPr>
      </w:pPr>
      <w:r w:rsidRPr="000F33EB">
        <w:rPr>
          <w:rStyle w:val="a5"/>
          <w:b/>
          <w:color w:val="auto"/>
          <w:u w:val="none"/>
          <w:lang w:val="en-US"/>
        </w:rPr>
        <w:t>Chapter</w:t>
      </w:r>
      <w:r w:rsidR="00CD5E54">
        <w:rPr>
          <w:lang w:val="en-US"/>
        </w:rPr>
        <w:t xml:space="preserve"> </w:t>
      </w:r>
      <w:r w:rsidR="00CD5E54" w:rsidRPr="00CD5E54">
        <w:rPr>
          <w:b/>
          <w:bCs/>
          <w:lang w:val="en-US"/>
        </w:rPr>
        <w:t>3.</w:t>
      </w:r>
      <w:r w:rsidR="00CD5E54">
        <w:rPr>
          <w:lang w:val="en-US"/>
        </w:rPr>
        <w:t xml:space="preserve"> </w:t>
      </w:r>
      <w:r w:rsidR="00CD5E54" w:rsidRPr="00CD5E54">
        <w:rPr>
          <w:lang w:val="en-US"/>
        </w:rPr>
        <w:t>Mission and vision of the Damu F</w:t>
      </w:r>
      <w:r w:rsidR="00CD5E54">
        <w:rPr>
          <w:lang w:val="en-US"/>
        </w:rPr>
        <w:t>und</w:t>
      </w:r>
    </w:p>
    <w:p w14:paraId="03532634" w14:textId="28776720" w:rsidR="00014C1A" w:rsidRPr="001E7718" w:rsidRDefault="00B21A0B" w:rsidP="006C0732">
      <w:pPr>
        <w:ind w:firstLine="426"/>
        <w:jc w:val="both"/>
        <w:rPr>
          <w:rStyle w:val="a5"/>
          <w:b/>
          <w:bCs/>
          <w:color w:val="auto"/>
          <w:u w:val="none"/>
          <w:lang w:val="en-US"/>
        </w:rPr>
      </w:pPr>
      <w:r w:rsidRPr="000F33EB">
        <w:rPr>
          <w:rStyle w:val="a5"/>
          <w:b/>
          <w:color w:val="auto"/>
          <w:u w:val="none"/>
          <w:lang w:val="en-US"/>
        </w:rPr>
        <w:t>Chapter</w:t>
      </w:r>
      <w:r w:rsidR="001E7718">
        <w:rPr>
          <w:lang w:val="en-US"/>
        </w:rPr>
        <w:t xml:space="preserve"> </w:t>
      </w:r>
      <w:r w:rsidR="001E7718" w:rsidRPr="001E7718">
        <w:rPr>
          <w:b/>
          <w:bCs/>
          <w:lang w:val="en-US"/>
        </w:rPr>
        <w:t xml:space="preserve">4. Strategic activities of the Damu </w:t>
      </w:r>
      <w:r w:rsidR="00A157BD">
        <w:rPr>
          <w:b/>
          <w:bCs/>
          <w:lang w:val="en-US"/>
        </w:rPr>
        <w:t>Fund</w:t>
      </w:r>
    </w:p>
    <w:p w14:paraId="352141B3" w14:textId="77777777" w:rsidR="001E7718" w:rsidRDefault="001E7718" w:rsidP="00154082">
      <w:pPr>
        <w:ind w:left="851"/>
        <w:jc w:val="both"/>
        <w:rPr>
          <w:rStyle w:val="a5"/>
          <w:color w:val="auto"/>
          <w:u w:val="none"/>
          <w:lang w:val="en-US"/>
        </w:rPr>
      </w:pPr>
      <w:r w:rsidRPr="001E7718">
        <w:rPr>
          <w:rStyle w:val="a5"/>
          <w:color w:val="auto"/>
          <w:u w:val="none"/>
          <w:lang w:val="en-US"/>
        </w:rPr>
        <w:t xml:space="preserve">Paragraph 1. Strategic Direction 1. Support and development of new and existing micro, small and medium-sized enterprises </w:t>
      </w:r>
    </w:p>
    <w:p w14:paraId="569A382F" w14:textId="408B2543" w:rsidR="00014C1A" w:rsidRPr="00CD5E54" w:rsidRDefault="00290D4E" w:rsidP="00154082">
      <w:pPr>
        <w:ind w:left="851"/>
        <w:jc w:val="both"/>
        <w:rPr>
          <w:rStyle w:val="a5"/>
          <w:color w:val="auto"/>
          <w:u w:val="none"/>
          <w:lang w:val="en-US"/>
        </w:rPr>
      </w:pPr>
      <w:hyperlink w:anchor="sub3010100" w:history="1">
        <w:r w:rsidR="00661C35" w:rsidRPr="00CD5E54">
          <w:rPr>
            <w:rStyle w:val="a5"/>
            <w:i/>
            <w:color w:val="auto"/>
            <w:u w:val="none"/>
            <w:lang w:val="en-US"/>
          </w:rPr>
          <w:t>Strategic goal: Ensuring accessibility of MSMEs to the Fund’s financial programs</w:t>
        </w:r>
      </w:hyperlink>
    </w:p>
    <w:p w14:paraId="756A39D7" w14:textId="77777777" w:rsidR="00014C1A" w:rsidRPr="00CD5E54" w:rsidRDefault="00290D4E" w:rsidP="00154082">
      <w:pPr>
        <w:spacing w:after="120"/>
        <w:ind w:left="851"/>
        <w:jc w:val="both"/>
        <w:rPr>
          <w:rStyle w:val="a5"/>
          <w:color w:val="auto"/>
          <w:u w:val="none"/>
          <w:lang w:val="en-US"/>
        </w:rPr>
      </w:pPr>
      <w:hyperlink w:anchor="sub3010200" w:history="1">
        <w:r w:rsidR="00661C35" w:rsidRPr="00CD5E54">
          <w:rPr>
            <w:rStyle w:val="a5"/>
            <w:i/>
            <w:color w:val="auto"/>
            <w:u w:val="none"/>
            <w:lang w:val="en-US"/>
          </w:rPr>
          <w:t>Strategic goal - Ensuring increased economic efficiency of supported MSMEs</w:t>
        </w:r>
      </w:hyperlink>
    </w:p>
    <w:p w14:paraId="0739D3FC" w14:textId="7F42C18D" w:rsidR="00014C1A" w:rsidRPr="001E7718" w:rsidRDefault="005B4C59" w:rsidP="001E7718">
      <w:pPr>
        <w:ind w:left="851"/>
        <w:jc w:val="both"/>
        <w:rPr>
          <w:rStyle w:val="a5"/>
          <w:color w:val="auto"/>
          <w:u w:val="none"/>
          <w:lang w:val="en-US"/>
        </w:rPr>
      </w:pPr>
      <w:r w:rsidRPr="00CD5E54">
        <w:rPr>
          <w:rStyle w:val="a5"/>
          <w:color w:val="auto"/>
          <w:u w:val="none"/>
          <w:lang w:val="en-US"/>
        </w:rPr>
        <w:t>Paragraph</w:t>
      </w:r>
      <w:r w:rsidR="001E7718" w:rsidRPr="00786955">
        <w:rPr>
          <w:rStyle w:val="a5"/>
          <w:color w:val="auto"/>
          <w:u w:val="none"/>
          <w:lang w:val="en-US"/>
        </w:rPr>
        <w:t xml:space="preserve"> 2. </w:t>
      </w:r>
      <w:r w:rsidR="001E7718" w:rsidRPr="001E7718">
        <w:rPr>
          <w:rStyle w:val="a5"/>
          <w:color w:val="auto"/>
          <w:u w:val="none"/>
          <w:lang w:val="en-US"/>
        </w:rPr>
        <w:t>Strategic direction 2. Sustainable Institutional Development of the Damu F</w:t>
      </w:r>
      <w:r w:rsidR="001E7718">
        <w:rPr>
          <w:rStyle w:val="a5"/>
          <w:color w:val="auto"/>
          <w:u w:val="none"/>
          <w:lang w:val="en-US"/>
        </w:rPr>
        <w:t>und</w:t>
      </w:r>
    </w:p>
    <w:p w14:paraId="50862D28" w14:textId="77777777" w:rsidR="00014C1A" w:rsidRPr="00B95991" w:rsidRDefault="00290D4E" w:rsidP="00154082">
      <w:pPr>
        <w:ind w:left="851"/>
        <w:jc w:val="both"/>
        <w:rPr>
          <w:rStyle w:val="a5"/>
          <w:i/>
          <w:color w:val="000000" w:themeColor="text1"/>
          <w:u w:val="none"/>
          <w:lang w:val="en-US"/>
        </w:rPr>
      </w:pPr>
      <w:hyperlink w:anchor="sub3020100" w:history="1">
        <w:r w:rsidR="00661C35" w:rsidRPr="00B95991">
          <w:rPr>
            <w:rStyle w:val="a5"/>
            <w:i/>
            <w:color w:val="000000" w:themeColor="text1"/>
            <w:u w:val="none"/>
            <w:lang w:val="en-US"/>
          </w:rPr>
          <w:t>Strategic goal - Improving the level of sustainable development</w:t>
        </w:r>
      </w:hyperlink>
    </w:p>
    <w:p w14:paraId="467F43BA" w14:textId="77777777" w:rsidR="0057629A" w:rsidRPr="00B95991" w:rsidRDefault="0057629A" w:rsidP="0057629A">
      <w:pPr>
        <w:ind w:left="851"/>
        <w:jc w:val="both"/>
        <w:rPr>
          <w:rStyle w:val="a5"/>
          <w:i/>
          <w:color w:val="000000" w:themeColor="text1"/>
          <w:u w:val="none"/>
          <w:lang w:val="en-US"/>
        </w:rPr>
      </w:pPr>
      <w:r w:rsidRPr="00B95991">
        <w:rPr>
          <w:rStyle w:val="a5"/>
          <w:i/>
          <w:color w:val="000000" w:themeColor="text1"/>
          <w:u w:val="none"/>
          <w:lang w:val="en-US"/>
        </w:rPr>
        <w:t>Strategic goal - Digitalization of business processes</w:t>
      </w:r>
    </w:p>
    <w:p w14:paraId="1B561B80" w14:textId="1637DAFF" w:rsidR="00014C1A" w:rsidRPr="003C644A" w:rsidRDefault="00290D4E" w:rsidP="00154082">
      <w:pPr>
        <w:spacing w:after="120"/>
        <w:ind w:firstLine="851"/>
        <w:jc w:val="both"/>
        <w:rPr>
          <w:rStyle w:val="a5"/>
          <w:i/>
          <w:color w:val="000000" w:themeColor="text1"/>
          <w:u w:val="none"/>
          <w:lang w:val="en-US"/>
        </w:rPr>
      </w:pPr>
      <w:hyperlink w:anchor="sub3020200" w:history="1">
        <w:r w:rsidR="00661C35" w:rsidRPr="00B95991">
          <w:rPr>
            <w:rStyle w:val="a5"/>
            <w:i/>
            <w:color w:val="000000" w:themeColor="text1"/>
            <w:u w:val="none"/>
            <w:lang w:val="en-US"/>
          </w:rPr>
          <w:t>Strategic goal -</w:t>
        </w:r>
      </w:hyperlink>
      <w:r w:rsidR="001E7718" w:rsidRPr="00786955">
        <w:rPr>
          <w:rStyle w:val="a5"/>
          <w:i/>
          <w:color w:val="000000" w:themeColor="text1"/>
          <w:u w:val="none"/>
          <w:lang w:val="en-US"/>
        </w:rPr>
        <w:t xml:space="preserve"> </w:t>
      </w:r>
      <w:hyperlink w:anchor="sub3020400" w:history="1">
        <w:r w:rsidR="00003B0B" w:rsidRPr="00B95991">
          <w:rPr>
            <w:rStyle w:val="a5"/>
            <w:i/>
            <w:color w:val="000000" w:themeColor="text1"/>
            <w:u w:val="none"/>
            <w:lang w:val="en-US"/>
          </w:rPr>
          <w:t>Improving the level of corporate governance</w:t>
        </w:r>
      </w:hyperlink>
    </w:p>
    <w:p w14:paraId="5169CAAD" w14:textId="11407EBE" w:rsidR="00014C1A" w:rsidRPr="001E7718" w:rsidRDefault="005B4C59" w:rsidP="006C0732">
      <w:pPr>
        <w:spacing w:after="120"/>
        <w:ind w:firstLine="426"/>
        <w:jc w:val="both"/>
        <w:rPr>
          <w:color w:val="auto"/>
          <w:lang w:val="en-US"/>
        </w:rPr>
      </w:pPr>
      <w:r w:rsidRPr="00CD5E54">
        <w:rPr>
          <w:rStyle w:val="a5"/>
          <w:b/>
          <w:color w:val="auto"/>
          <w:u w:val="none"/>
          <w:lang w:val="en-US"/>
        </w:rPr>
        <w:t>Chapter</w:t>
      </w:r>
      <w:bookmarkStart w:id="2" w:name="ContentEnd"/>
      <w:bookmarkEnd w:id="2"/>
      <w:r w:rsidR="001E7718">
        <w:rPr>
          <w:lang w:val="en-US"/>
        </w:rPr>
        <w:t xml:space="preserve"> </w:t>
      </w:r>
      <w:r w:rsidR="001E7718" w:rsidRPr="001E7718">
        <w:rPr>
          <w:b/>
          <w:bCs/>
          <w:lang w:val="en-US"/>
        </w:rPr>
        <w:t>5. Strategic key performance indicators of the Damu F</w:t>
      </w:r>
      <w:r w:rsidR="003C644A">
        <w:rPr>
          <w:b/>
          <w:bCs/>
          <w:lang w:val="en-US"/>
        </w:rPr>
        <w:t>und</w:t>
      </w:r>
    </w:p>
    <w:p w14:paraId="62912C22" w14:textId="77777777" w:rsidR="00014C1A" w:rsidRPr="00CD5E54" w:rsidRDefault="00003B0B" w:rsidP="006D4856">
      <w:pPr>
        <w:pageBreakBefore/>
        <w:jc w:val="center"/>
        <w:rPr>
          <w:color w:val="auto"/>
          <w:lang w:val="en-US"/>
        </w:rPr>
      </w:pPr>
      <w:bookmarkStart w:id="3" w:name="SUB10"/>
      <w:bookmarkEnd w:id="3"/>
      <w:r w:rsidRPr="00CD5E54">
        <w:rPr>
          <w:rStyle w:val="s1"/>
          <w:color w:val="auto"/>
          <w:lang w:val="en-US"/>
        </w:rPr>
        <w:lastRenderedPageBreak/>
        <w:t>Introduction</w:t>
      </w:r>
    </w:p>
    <w:p w14:paraId="7656F3A8" w14:textId="77777777" w:rsidR="00014C1A" w:rsidRPr="00CD5E54" w:rsidRDefault="00014C1A">
      <w:pPr>
        <w:jc w:val="center"/>
        <w:rPr>
          <w:color w:val="auto"/>
          <w:lang w:val="en-US"/>
        </w:rPr>
      </w:pPr>
    </w:p>
    <w:p w14:paraId="0B1C8EDC" w14:textId="77777777" w:rsidR="00C63ED4" w:rsidRDefault="00C63ED4" w:rsidP="0064244C">
      <w:pPr>
        <w:ind w:firstLine="567"/>
        <w:jc w:val="both"/>
        <w:rPr>
          <w:color w:val="auto"/>
          <w:lang w:val="en-US"/>
        </w:rPr>
      </w:pPr>
      <w:r w:rsidRPr="00C63ED4">
        <w:rPr>
          <w:color w:val="auto"/>
          <w:lang w:val="en-US"/>
        </w:rPr>
        <w:t xml:space="preserve">The Damu Entrepreneurship Development Fund Joint-Stock Company (hereinafter referred to as the Damu Fund) was established on the basis of </w:t>
      </w:r>
      <w:r w:rsidRPr="00C63ED4">
        <w:rPr>
          <w:color w:val="auto"/>
          <w:u w:val="single"/>
          <w:lang w:val="en-US"/>
        </w:rPr>
        <w:t xml:space="preserve">Decree </w:t>
      </w:r>
      <w:r w:rsidRPr="00C63ED4">
        <w:rPr>
          <w:color w:val="auto"/>
          <w:lang w:val="en-US"/>
        </w:rPr>
        <w:t>of the Government of the Republic of Kazakhstan dated April 26, 1997 No. 665 "On the creation of the Small Business Development Fund" in the form of a joint-stock company with 100% (one hundred percent) state participation in the authorized capital.</w:t>
      </w:r>
    </w:p>
    <w:p w14:paraId="4B92B3CD" w14:textId="77777777" w:rsidR="00C63ED4" w:rsidRDefault="00C63ED4" w:rsidP="0064244C">
      <w:pPr>
        <w:tabs>
          <w:tab w:val="left" w:pos="567"/>
        </w:tabs>
        <w:ind w:firstLine="567"/>
        <w:jc w:val="both"/>
        <w:rPr>
          <w:color w:val="auto"/>
          <w:lang w:val="en-US"/>
        </w:rPr>
      </w:pPr>
      <w:r w:rsidRPr="00C63ED4">
        <w:rPr>
          <w:color w:val="auto"/>
          <w:lang w:val="en-US"/>
        </w:rPr>
        <w:t xml:space="preserve">In accordance with the </w:t>
      </w:r>
      <w:r w:rsidRPr="00C63ED4">
        <w:rPr>
          <w:color w:val="auto"/>
          <w:u w:val="single"/>
          <w:lang w:val="en-US"/>
        </w:rPr>
        <w:t>Decree</w:t>
      </w:r>
      <w:r w:rsidRPr="00C63ED4">
        <w:rPr>
          <w:color w:val="auto"/>
          <w:lang w:val="en-US"/>
        </w:rPr>
        <w:t xml:space="preserve"> of the President of the Republic of Kazakhstan "On some measures to optimize the management system of development institutions, financial organizations and the development of the national economy" No. 571 dated May 22, 2013, the sole shareholder of the Damu Fund is Baiterek National Management Holding JSC (hereinafter referred to as NMH Baiterek JSC, Holding).</w:t>
      </w:r>
    </w:p>
    <w:p w14:paraId="2991958B" w14:textId="77777777" w:rsidR="00E21567" w:rsidRDefault="00E21567" w:rsidP="0064244C">
      <w:pPr>
        <w:ind w:firstLine="567"/>
        <w:jc w:val="both"/>
        <w:rPr>
          <w:color w:val="auto"/>
          <w:lang w:val="en-US"/>
        </w:rPr>
      </w:pPr>
      <w:r w:rsidRPr="00E21567">
        <w:rPr>
          <w:color w:val="auto"/>
          <w:lang w:val="en-US"/>
        </w:rPr>
        <w:t>The Damu Fund is a financial agency that implements state support instruments, the purpose of which is to promote the qualitative development of private entrepreneurship in the Republic of Kazakhstan through the provision of financial support.</w:t>
      </w:r>
    </w:p>
    <w:p w14:paraId="117FE42B" w14:textId="77777777" w:rsidR="00E21567" w:rsidRDefault="00E21567" w:rsidP="0064244C">
      <w:pPr>
        <w:ind w:firstLine="567"/>
        <w:jc w:val="both"/>
        <w:rPr>
          <w:color w:val="auto"/>
          <w:lang w:val="en-US"/>
        </w:rPr>
      </w:pPr>
      <w:r w:rsidRPr="00E21567">
        <w:rPr>
          <w:color w:val="auto"/>
          <w:lang w:val="en-US"/>
        </w:rPr>
        <w:t>The Fund's development strategy for 2014-2023 was approved by the decision of the Board of Directors of the Fund dated July 3, 2017, No. 80 and was twice updated in connection with a number of changes in the Development Plan of NMH Baiterek JSC for 2014-2023 and documents of the state planning system, in the implementation of which the Damu Fund participates, as well as a number of socio-economic events.</w:t>
      </w:r>
    </w:p>
    <w:p w14:paraId="433F14E4" w14:textId="4C1D0CC6" w:rsidR="001D24B4" w:rsidRPr="00CD5E54" w:rsidRDefault="00A024F3" w:rsidP="0064244C">
      <w:pPr>
        <w:ind w:firstLine="567"/>
        <w:jc w:val="both"/>
        <w:rPr>
          <w:rStyle w:val="s0"/>
          <w:color w:val="auto"/>
          <w:lang w:val="en-US"/>
        </w:rPr>
      </w:pPr>
      <w:r w:rsidRPr="00CD5E54">
        <w:rPr>
          <w:color w:val="auto"/>
          <w:lang w:val="en-US"/>
        </w:rPr>
        <w:t>This Development Strategy of Damu Fund for 2024–2033 (hereinafter referred to as the Strategy or the Development Strategy) defines the mission, vision, strategic directions, goals, and objectives of the Fund for a 10-year period. The Strategy has been developed in accordance with the Rules for the development, coordination, approval, monitoring, and updating of development strategies for subsidiaries of Baiterek National Managing Holding JSC, approved by the decision of the Holding's Management Board dated September 25, 2018, No. 38/18, taking into account the Development Plan of Baiterek National Managing Holding JSC for 2024–2033, including the messages of the President of the Republic of Kazakhstan on the situation in the country and the main directions of domestic and foreign policy, the provisions of strategic and program documents of the state planning system, as well as changes in the internal and external environment that have a significant impact on the activities of Baiterek National Managing Holding JSC and the Damu Fund:</w:t>
      </w:r>
    </w:p>
    <w:p w14:paraId="66113BED" w14:textId="5B4EBC82" w:rsidR="00484D84" w:rsidRPr="00907248" w:rsidRDefault="00040C9D" w:rsidP="00484D84">
      <w:pPr>
        <w:pStyle w:val="pj"/>
        <w:numPr>
          <w:ilvl w:val="0"/>
          <w:numId w:val="11"/>
        </w:numPr>
        <w:tabs>
          <w:tab w:val="left" w:pos="993"/>
        </w:tabs>
        <w:ind w:left="0" w:firstLine="567"/>
        <w:rPr>
          <w:rFonts w:eastAsiaTheme="minorHAnsi"/>
          <w:bCs/>
          <w:lang w:val="kk-KZ" w:eastAsia="en-US"/>
        </w:rPr>
      </w:pPr>
      <w:r w:rsidRPr="00040C9D">
        <w:rPr>
          <w:lang w:val="en-US"/>
        </w:rPr>
        <w:t xml:space="preserve">Message </w:t>
      </w:r>
      <w:r w:rsidRPr="00040C9D">
        <w:rPr>
          <w:rFonts w:eastAsiaTheme="minorHAnsi"/>
          <w:lang w:val="kk-KZ" w:eastAsia="en-US"/>
        </w:rPr>
        <w:t>of the President of the Republic of Kazakhstan - Leader of the Nation N.A. Nazarbayev to the People of Kazakhstan dated December 14, 2012 "Strategy "Kazakhstan-2050": New political course of the state held"</w:t>
      </w:r>
      <w:r w:rsidR="00484D84" w:rsidRPr="00907248">
        <w:rPr>
          <w:rFonts w:eastAsiaTheme="minorHAnsi"/>
          <w:lang w:val="kk-KZ" w:eastAsia="en-US"/>
        </w:rPr>
        <w:t>;</w:t>
      </w:r>
    </w:p>
    <w:p w14:paraId="3E34EFC7" w14:textId="11168F4C" w:rsidR="00484D84" w:rsidRPr="00907248" w:rsidRDefault="00040C9D" w:rsidP="00484D84">
      <w:pPr>
        <w:pStyle w:val="pj"/>
        <w:numPr>
          <w:ilvl w:val="0"/>
          <w:numId w:val="11"/>
        </w:numPr>
        <w:tabs>
          <w:tab w:val="left" w:pos="993"/>
        </w:tabs>
        <w:ind w:left="0" w:firstLine="567"/>
        <w:rPr>
          <w:rFonts w:eastAsiaTheme="minorHAnsi"/>
          <w:color w:val="auto"/>
          <w:lang w:val="kk-KZ" w:eastAsia="en-US"/>
        </w:rPr>
      </w:pPr>
      <w:r w:rsidRPr="00040C9D">
        <w:rPr>
          <w:lang w:val="en-US"/>
        </w:rPr>
        <w:t>Message of the President of Kazakhstan dated January 31, 2017 "The third modernization of Kazakhstan: global competitiveness"</w:t>
      </w:r>
      <w:r w:rsidR="00484D84" w:rsidRPr="00907248">
        <w:rPr>
          <w:rFonts w:eastAsiaTheme="minorHAnsi"/>
          <w:color w:val="auto"/>
          <w:lang w:val="kk-KZ" w:eastAsia="en-US"/>
        </w:rPr>
        <w:t>;</w:t>
      </w:r>
    </w:p>
    <w:p w14:paraId="0FDF88BA" w14:textId="3E263C52" w:rsidR="00484D84" w:rsidRPr="00907248" w:rsidRDefault="00040C9D" w:rsidP="00484D84">
      <w:pPr>
        <w:pStyle w:val="pj"/>
        <w:numPr>
          <w:ilvl w:val="0"/>
          <w:numId w:val="11"/>
        </w:numPr>
        <w:tabs>
          <w:tab w:val="left" w:pos="993"/>
        </w:tabs>
        <w:ind w:left="0" w:firstLine="567"/>
        <w:rPr>
          <w:rFonts w:eastAsiaTheme="minorHAnsi"/>
          <w:color w:val="auto"/>
          <w:lang w:val="kk-KZ" w:eastAsia="en-US"/>
        </w:rPr>
      </w:pPr>
      <w:r w:rsidRPr="00040C9D">
        <w:rPr>
          <w:rFonts w:eastAsiaTheme="minorHAnsi"/>
          <w:color w:val="auto"/>
          <w:lang w:val="kk-KZ" w:eastAsia="en-US"/>
        </w:rPr>
        <w:t>Message of the President of the Republic of Kazakhstan N. Nazarbayev to the people of Kazakhstan dated January 10, 2018 "New development opportunities in the context of the fourth industrial revolution"</w:t>
      </w:r>
      <w:r w:rsidR="00484D84" w:rsidRPr="00907248">
        <w:rPr>
          <w:rFonts w:eastAsiaTheme="minorHAnsi"/>
          <w:color w:val="auto"/>
          <w:lang w:val="kk-KZ" w:eastAsia="en-US"/>
        </w:rPr>
        <w:t>;</w:t>
      </w:r>
    </w:p>
    <w:p w14:paraId="0D8CFC79" w14:textId="7E8EC5ED" w:rsidR="00484D84" w:rsidRPr="00907248" w:rsidRDefault="00040C9D" w:rsidP="00484D84">
      <w:pPr>
        <w:pStyle w:val="pj"/>
        <w:numPr>
          <w:ilvl w:val="0"/>
          <w:numId w:val="11"/>
        </w:numPr>
        <w:tabs>
          <w:tab w:val="left" w:pos="993"/>
        </w:tabs>
        <w:ind w:left="0" w:firstLine="567"/>
        <w:rPr>
          <w:rFonts w:eastAsiaTheme="minorHAnsi"/>
          <w:color w:val="auto"/>
          <w:lang w:val="kk-KZ" w:eastAsia="en-US"/>
        </w:rPr>
      </w:pPr>
      <w:r w:rsidRPr="00040C9D">
        <w:rPr>
          <w:rFonts w:eastAsiaTheme="minorHAnsi"/>
          <w:color w:val="auto"/>
          <w:lang w:val="kk-KZ" w:eastAsia="en-US"/>
        </w:rPr>
        <w:t>Message of the President of the Republic of Kazakhstan to the people of Kazakhstan dated October 5, 2018 "Increasing the well-being of Kazakhstanis: increasing income and quality of life"</w:t>
      </w:r>
      <w:r w:rsidR="00484D84" w:rsidRPr="00907248">
        <w:rPr>
          <w:rFonts w:eastAsiaTheme="minorHAnsi"/>
          <w:color w:val="auto"/>
          <w:lang w:val="kk-KZ" w:eastAsia="en-US"/>
        </w:rPr>
        <w:t>;</w:t>
      </w:r>
    </w:p>
    <w:p w14:paraId="74BE6A92" w14:textId="3B9D8546"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0C9D">
        <w:rPr>
          <w:rFonts w:eastAsiaTheme="minorHAnsi"/>
          <w:color w:val="auto"/>
          <w:lang w:val="kk-KZ" w:eastAsia="en-US"/>
        </w:rPr>
        <w:t xml:space="preserve">Message </w:t>
      </w:r>
      <w:r w:rsidRPr="00041D3F">
        <w:rPr>
          <w:rFonts w:eastAsiaTheme="minorHAnsi"/>
          <w:color w:val="auto"/>
          <w:lang w:val="kk-KZ" w:eastAsia="en-US"/>
        </w:rPr>
        <w:t>of the Head of State to the people of Kazakhstan dated September 2, 2019 "Constructive public dialogue is the basis of stability and prosperity of Kazakhstan"</w:t>
      </w:r>
      <w:r w:rsidR="00484D84" w:rsidRPr="00907248">
        <w:rPr>
          <w:rFonts w:eastAsiaTheme="minorHAnsi"/>
          <w:color w:val="auto"/>
          <w:lang w:val="kk-KZ" w:eastAsia="en-US"/>
        </w:rPr>
        <w:t>;</w:t>
      </w:r>
    </w:p>
    <w:p w14:paraId="480B6138" w14:textId="50CA81BD"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Message of the Head of State Kassym-Jomart Tokayev to the people of Kazakhstan dated September 1, 2020 "Kazakhstan in a new reality: time for action</w:t>
      </w:r>
      <w:r w:rsidR="00484D84" w:rsidRPr="00907248">
        <w:rPr>
          <w:rFonts w:eastAsiaTheme="minorHAnsi"/>
          <w:color w:val="auto"/>
          <w:lang w:val="kk-KZ" w:eastAsia="en-US"/>
        </w:rPr>
        <w:t>;</w:t>
      </w:r>
    </w:p>
    <w:p w14:paraId="779D76AF" w14:textId="4D8E7049"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Message of the Head of State Kassym-Jomart Tokayev to the people of Kazakhstan dated September 1, 2023 "The Economic Course of Fair Kazakhstan"</w:t>
      </w:r>
      <w:r w:rsidR="00484D84" w:rsidRPr="00907248">
        <w:rPr>
          <w:rFonts w:eastAsiaTheme="minorHAnsi"/>
          <w:color w:val="auto"/>
          <w:lang w:val="kk-KZ" w:eastAsia="en-US"/>
        </w:rPr>
        <w:t>;</w:t>
      </w:r>
    </w:p>
    <w:p w14:paraId="6EDF1381" w14:textId="596ECA54"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Message of the Head of State Kassym-Jomart Tokayev to the people of Kazakhstan dated September 2, 2024 "Fair Kazakhstan: law and order, economic growth, public optimism"</w:t>
      </w:r>
      <w:r w:rsidR="00484D84" w:rsidRPr="00907248">
        <w:rPr>
          <w:rFonts w:eastAsiaTheme="minorHAnsi"/>
          <w:color w:val="auto"/>
          <w:lang w:val="kk-KZ" w:eastAsia="en-US"/>
        </w:rPr>
        <w:t>;</w:t>
      </w:r>
    </w:p>
    <w:p w14:paraId="7EFC2655" w14:textId="26C6940C"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National Development Plan of the Republic of Kazakhstan until 2029, approved by Decree of the President of the Republic of Kazakhstan dated July 30, 2024 No. 611</w:t>
      </w:r>
      <w:r w:rsidR="00484D84" w:rsidRPr="00907248">
        <w:rPr>
          <w:rFonts w:eastAsiaTheme="minorHAnsi"/>
          <w:color w:val="auto"/>
          <w:lang w:val="kk-KZ" w:eastAsia="en-US"/>
        </w:rPr>
        <w:t>;</w:t>
      </w:r>
    </w:p>
    <w:p w14:paraId="2A578F6E" w14:textId="1C2FFABF"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lastRenderedPageBreak/>
        <w:t>The concept of the development of small and medium-sized businesses in the Republic of Kazakhstan until 2030, approved by the Decree of the Government of the Republic of Kazakhstan dated April 27, 2022 No. 250</w:t>
      </w:r>
      <w:r w:rsidR="00484D84" w:rsidRPr="00907248">
        <w:rPr>
          <w:rFonts w:eastAsiaTheme="minorHAnsi"/>
          <w:color w:val="auto"/>
          <w:lang w:val="kk-KZ" w:eastAsia="en-US"/>
        </w:rPr>
        <w:t>;</w:t>
      </w:r>
    </w:p>
    <w:p w14:paraId="7C262EDF" w14:textId="05686B8B"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The concept for the development of the agro-industrial complex of the Republic of Kazakhstan for 2021-2030, approved by Decree of the Government of the Republic of Kazakhstan dated December 30, 2021 No. 960</w:t>
      </w:r>
      <w:r w:rsidR="00484D84" w:rsidRPr="00907248">
        <w:rPr>
          <w:rFonts w:eastAsiaTheme="minorHAnsi"/>
          <w:color w:val="auto"/>
          <w:lang w:val="kk-KZ" w:eastAsia="en-US"/>
        </w:rPr>
        <w:t>;</w:t>
      </w:r>
    </w:p>
    <w:p w14:paraId="5FE11EE4" w14:textId="4C46FA1A"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The concept for the development of the manufacturing industry of the Republic of Kazakhstan for 2023 - 2029, approved by Decree of the Government of the Republic of Kazakhstan dated December 20, 2018 No. 846</w:t>
      </w:r>
      <w:r w:rsidR="00484D84" w:rsidRPr="00907248">
        <w:rPr>
          <w:rFonts w:eastAsiaTheme="minorHAnsi"/>
          <w:color w:val="auto"/>
          <w:lang w:val="kk-KZ" w:eastAsia="en-US"/>
        </w:rPr>
        <w:t>;</w:t>
      </w:r>
    </w:p>
    <w:p w14:paraId="5A6AF0A9" w14:textId="5BC28582" w:rsidR="00484D84" w:rsidRPr="00907248" w:rsidRDefault="00041D3F" w:rsidP="00484D84">
      <w:pPr>
        <w:pStyle w:val="pj"/>
        <w:numPr>
          <w:ilvl w:val="0"/>
          <w:numId w:val="11"/>
        </w:numPr>
        <w:tabs>
          <w:tab w:val="left" w:pos="993"/>
        </w:tabs>
        <w:ind w:left="0" w:firstLine="567"/>
        <w:rPr>
          <w:rFonts w:eastAsiaTheme="minorHAnsi"/>
          <w:color w:val="auto"/>
          <w:lang w:val="kk-KZ" w:eastAsia="en-US"/>
        </w:rPr>
      </w:pPr>
      <w:r w:rsidRPr="00041D3F">
        <w:rPr>
          <w:rFonts w:eastAsiaTheme="minorHAnsi"/>
          <w:color w:val="auto"/>
          <w:lang w:val="kk-KZ" w:eastAsia="en-US"/>
        </w:rPr>
        <w:t>Decree of the Government of the Republic of Kazakhstan dated September 17, 2024 No. 754 "On some measures of state support for private entrepreneurship</w:t>
      </w:r>
      <w:r w:rsidR="00484D84" w:rsidRPr="00907248">
        <w:rPr>
          <w:rFonts w:eastAsiaTheme="minorHAnsi"/>
          <w:color w:val="auto"/>
          <w:lang w:val="kk-KZ" w:eastAsia="en-US"/>
        </w:rPr>
        <w:t>";</w:t>
      </w:r>
    </w:p>
    <w:p w14:paraId="539F6972" w14:textId="37C1C4F2" w:rsidR="00484D84" w:rsidRDefault="00041D3F" w:rsidP="00484D84">
      <w:pPr>
        <w:pStyle w:val="pj"/>
        <w:numPr>
          <w:ilvl w:val="0"/>
          <w:numId w:val="11"/>
        </w:numPr>
        <w:tabs>
          <w:tab w:val="left" w:pos="993"/>
        </w:tabs>
        <w:ind w:left="0" w:firstLine="567"/>
        <w:rPr>
          <w:rFonts w:eastAsiaTheme="minorHAnsi"/>
          <w:lang w:val="kk-KZ" w:eastAsia="en-US"/>
        </w:rPr>
      </w:pPr>
      <w:r w:rsidRPr="00041D3F">
        <w:rPr>
          <w:rFonts w:eastAsiaTheme="minorHAnsi"/>
          <w:color w:val="auto"/>
          <w:lang w:val="kk-KZ" w:eastAsia="en-US"/>
        </w:rPr>
        <w:t>The national project "Modernization of the energy and communal sectors," approved by the Decree of the Government of the Republic of Kazakhstan dated December 25, 2024 No. 1102."</w:t>
      </w:r>
      <w:r w:rsidR="00484D84" w:rsidRPr="00907248">
        <w:rPr>
          <w:rFonts w:eastAsiaTheme="minorHAnsi"/>
          <w:lang w:val="kk-KZ" w:eastAsia="en-US"/>
        </w:rPr>
        <w:t>.</w:t>
      </w:r>
    </w:p>
    <w:p w14:paraId="259D2364" w14:textId="77777777" w:rsidR="001B1E48" w:rsidRPr="00484D84" w:rsidRDefault="001B1E48" w:rsidP="0064244C">
      <w:pPr>
        <w:pStyle w:val="pj"/>
        <w:ind w:left="400" w:firstLine="567"/>
        <w:rPr>
          <w:color w:val="auto"/>
          <w:lang w:val="kk-KZ"/>
        </w:rPr>
      </w:pPr>
    </w:p>
    <w:p w14:paraId="3B2BFED3" w14:textId="4F1B1E4C" w:rsidR="00DF0CE1" w:rsidRDefault="001830FC" w:rsidP="00DF0CE1">
      <w:pPr>
        <w:ind w:firstLine="426"/>
        <w:jc w:val="both"/>
        <w:rPr>
          <w:color w:val="auto"/>
          <w:lang w:val="en-US"/>
        </w:rPr>
      </w:pPr>
      <w:r w:rsidRPr="001830FC">
        <w:rPr>
          <w:color w:val="auto"/>
          <w:lang w:val="en-US"/>
        </w:rPr>
        <w:t>This document is based on the key strategic directions of the Fund's activities to realize its role as an institution for the development of entrepreneurship in the state policy of industrial-innovative and socio-economic development. The strategy defines the mission, vision, strategic directions, as well as goals, objectives and projected values   of the strategic key performance indicators of the Fund for the period 2024-2033.</w:t>
      </w:r>
    </w:p>
    <w:p w14:paraId="1BAEB8FF" w14:textId="77777777" w:rsidR="00E60CB4" w:rsidRDefault="00E60CB4" w:rsidP="00DF0CE1">
      <w:pPr>
        <w:ind w:firstLine="426"/>
        <w:jc w:val="both"/>
        <w:rPr>
          <w:color w:val="auto"/>
          <w:lang w:val="en-US"/>
        </w:rPr>
      </w:pPr>
    </w:p>
    <w:p w14:paraId="100A44EA" w14:textId="77777777" w:rsidR="00E60CB4" w:rsidRDefault="00E60CB4" w:rsidP="00DF0CE1">
      <w:pPr>
        <w:ind w:firstLine="426"/>
        <w:jc w:val="both"/>
        <w:rPr>
          <w:color w:val="auto"/>
          <w:lang w:val="en-US"/>
        </w:rPr>
      </w:pPr>
    </w:p>
    <w:p w14:paraId="7AC97F3C" w14:textId="77777777" w:rsidR="00E60CB4" w:rsidRDefault="00E60CB4" w:rsidP="00DF0CE1">
      <w:pPr>
        <w:ind w:firstLine="426"/>
        <w:jc w:val="both"/>
        <w:rPr>
          <w:color w:val="auto"/>
          <w:lang w:val="en-US"/>
        </w:rPr>
      </w:pPr>
    </w:p>
    <w:p w14:paraId="1E5D354A" w14:textId="77777777" w:rsidR="00E60CB4" w:rsidRDefault="00E60CB4" w:rsidP="00DF0CE1">
      <w:pPr>
        <w:ind w:firstLine="426"/>
        <w:jc w:val="both"/>
        <w:rPr>
          <w:color w:val="auto"/>
          <w:lang w:val="en-US"/>
        </w:rPr>
      </w:pPr>
    </w:p>
    <w:p w14:paraId="2E15EE11" w14:textId="77777777" w:rsidR="00E60CB4" w:rsidRDefault="00E60CB4" w:rsidP="00DF0CE1">
      <w:pPr>
        <w:ind w:firstLine="426"/>
        <w:jc w:val="both"/>
        <w:rPr>
          <w:color w:val="auto"/>
          <w:lang w:val="en-US"/>
        </w:rPr>
      </w:pPr>
    </w:p>
    <w:p w14:paraId="2AB75720" w14:textId="77777777" w:rsidR="00E60CB4" w:rsidRDefault="00E60CB4" w:rsidP="00DF0CE1">
      <w:pPr>
        <w:ind w:firstLine="426"/>
        <w:jc w:val="both"/>
        <w:rPr>
          <w:color w:val="auto"/>
          <w:lang w:val="en-US"/>
        </w:rPr>
      </w:pPr>
    </w:p>
    <w:p w14:paraId="5D22A7AD" w14:textId="77777777" w:rsidR="00E60CB4" w:rsidRDefault="00E60CB4" w:rsidP="00DF0CE1">
      <w:pPr>
        <w:ind w:firstLine="426"/>
        <w:jc w:val="both"/>
        <w:rPr>
          <w:color w:val="auto"/>
          <w:lang w:val="en-US"/>
        </w:rPr>
      </w:pPr>
    </w:p>
    <w:p w14:paraId="0BC494B6" w14:textId="77777777" w:rsidR="00E60CB4" w:rsidRDefault="00E60CB4" w:rsidP="00DF0CE1">
      <w:pPr>
        <w:ind w:firstLine="426"/>
        <w:jc w:val="both"/>
        <w:rPr>
          <w:color w:val="auto"/>
          <w:lang w:val="en-US"/>
        </w:rPr>
      </w:pPr>
    </w:p>
    <w:p w14:paraId="334975BC" w14:textId="77777777" w:rsidR="00E60CB4" w:rsidRDefault="00E60CB4" w:rsidP="00DF0CE1">
      <w:pPr>
        <w:ind w:firstLine="426"/>
        <w:jc w:val="both"/>
        <w:rPr>
          <w:color w:val="auto"/>
          <w:lang w:val="en-US"/>
        </w:rPr>
      </w:pPr>
    </w:p>
    <w:p w14:paraId="5A4A22A1" w14:textId="77777777" w:rsidR="00E60CB4" w:rsidRDefault="00E60CB4" w:rsidP="00DF0CE1">
      <w:pPr>
        <w:ind w:firstLine="426"/>
        <w:jc w:val="both"/>
        <w:rPr>
          <w:color w:val="auto"/>
          <w:lang w:val="en-US"/>
        </w:rPr>
      </w:pPr>
    </w:p>
    <w:p w14:paraId="71F8ABED" w14:textId="77777777" w:rsidR="00E60CB4" w:rsidRDefault="00E60CB4" w:rsidP="00DF0CE1">
      <w:pPr>
        <w:ind w:firstLine="426"/>
        <w:jc w:val="both"/>
        <w:rPr>
          <w:color w:val="auto"/>
          <w:lang w:val="en-US"/>
        </w:rPr>
      </w:pPr>
    </w:p>
    <w:p w14:paraId="558021B8" w14:textId="77777777" w:rsidR="00E60CB4" w:rsidRDefault="00E60CB4" w:rsidP="00DF0CE1">
      <w:pPr>
        <w:ind w:firstLine="426"/>
        <w:jc w:val="both"/>
        <w:rPr>
          <w:color w:val="auto"/>
          <w:lang w:val="en-US"/>
        </w:rPr>
      </w:pPr>
    </w:p>
    <w:p w14:paraId="55788658" w14:textId="77777777" w:rsidR="00E60CB4" w:rsidRDefault="00E60CB4" w:rsidP="00DF0CE1">
      <w:pPr>
        <w:ind w:firstLine="426"/>
        <w:jc w:val="both"/>
        <w:rPr>
          <w:color w:val="auto"/>
          <w:lang w:val="en-US"/>
        </w:rPr>
      </w:pPr>
    </w:p>
    <w:p w14:paraId="629485B6" w14:textId="77777777" w:rsidR="00E60CB4" w:rsidRDefault="00E60CB4" w:rsidP="00DF0CE1">
      <w:pPr>
        <w:ind w:firstLine="426"/>
        <w:jc w:val="both"/>
        <w:rPr>
          <w:color w:val="auto"/>
          <w:lang w:val="en-US"/>
        </w:rPr>
      </w:pPr>
    </w:p>
    <w:p w14:paraId="3A4AFDB4" w14:textId="77777777" w:rsidR="00E60CB4" w:rsidRDefault="00E60CB4" w:rsidP="00DF0CE1">
      <w:pPr>
        <w:ind w:firstLine="426"/>
        <w:jc w:val="both"/>
        <w:rPr>
          <w:color w:val="auto"/>
          <w:lang w:val="en-US"/>
        </w:rPr>
      </w:pPr>
    </w:p>
    <w:p w14:paraId="468EB4D9" w14:textId="77777777" w:rsidR="00E60CB4" w:rsidRDefault="00E60CB4" w:rsidP="00DF0CE1">
      <w:pPr>
        <w:ind w:firstLine="426"/>
        <w:jc w:val="both"/>
        <w:rPr>
          <w:color w:val="auto"/>
          <w:lang w:val="en-US"/>
        </w:rPr>
      </w:pPr>
    </w:p>
    <w:p w14:paraId="4237A129" w14:textId="77777777" w:rsidR="00E60CB4" w:rsidRDefault="00E60CB4" w:rsidP="00DF0CE1">
      <w:pPr>
        <w:ind w:firstLine="426"/>
        <w:jc w:val="both"/>
        <w:rPr>
          <w:color w:val="auto"/>
          <w:lang w:val="en-US"/>
        </w:rPr>
      </w:pPr>
    </w:p>
    <w:p w14:paraId="6E231170" w14:textId="77777777" w:rsidR="00E60CB4" w:rsidRDefault="00E60CB4" w:rsidP="00DF0CE1">
      <w:pPr>
        <w:ind w:firstLine="426"/>
        <w:jc w:val="both"/>
        <w:rPr>
          <w:color w:val="auto"/>
          <w:lang w:val="en-US"/>
        </w:rPr>
      </w:pPr>
    </w:p>
    <w:p w14:paraId="68A42D2A" w14:textId="77777777" w:rsidR="00E60CB4" w:rsidRDefault="00E60CB4" w:rsidP="00DF0CE1">
      <w:pPr>
        <w:ind w:firstLine="426"/>
        <w:jc w:val="both"/>
        <w:rPr>
          <w:color w:val="auto"/>
          <w:lang w:val="en-US"/>
        </w:rPr>
      </w:pPr>
    </w:p>
    <w:p w14:paraId="3DAB4854" w14:textId="77777777" w:rsidR="00E60CB4" w:rsidRDefault="00E60CB4" w:rsidP="00DF0CE1">
      <w:pPr>
        <w:ind w:firstLine="426"/>
        <w:jc w:val="both"/>
        <w:rPr>
          <w:color w:val="auto"/>
          <w:lang w:val="en-US"/>
        </w:rPr>
      </w:pPr>
    </w:p>
    <w:p w14:paraId="4E4E92C0" w14:textId="77777777" w:rsidR="00E60CB4" w:rsidRDefault="00E60CB4" w:rsidP="00DF0CE1">
      <w:pPr>
        <w:ind w:firstLine="426"/>
        <w:jc w:val="both"/>
        <w:rPr>
          <w:color w:val="auto"/>
          <w:lang w:val="en-US"/>
        </w:rPr>
      </w:pPr>
    </w:p>
    <w:p w14:paraId="159E31C4" w14:textId="77777777" w:rsidR="00E60CB4" w:rsidRDefault="00E60CB4" w:rsidP="00DF0CE1">
      <w:pPr>
        <w:ind w:firstLine="426"/>
        <w:jc w:val="both"/>
        <w:rPr>
          <w:color w:val="auto"/>
          <w:lang w:val="en-US"/>
        </w:rPr>
      </w:pPr>
    </w:p>
    <w:p w14:paraId="0E0EFEC3" w14:textId="77777777" w:rsidR="00E60CB4" w:rsidRDefault="00E60CB4" w:rsidP="00DF0CE1">
      <w:pPr>
        <w:ind w:firstLine="426"/>
        <w:jc w:val="both"/>
        <w:rPr>
          <w:color w:val="auto"/>
          <w:lang w:val="en-US"/>
        </w:rPr>
      </w:pPr>
    </w:p>
    <w:p w14:paraId="4EAA2A7A" w14:textId="77777777" w:rsidR="00E60CB4" w:rsidRDefault="00E60CB4" w:rsidP="00DF0CE1">
      <w:pPr>
        <w:ind w:firstLine="426"/>
        <w:jc w:val="both"/>
        <w:rPr>
          <w:color w:val="auto"/>
          <w:lang w:val="en-US"/>
        </w:rPr>
      </w:pPr>
    </w:p>
    <w:p w14:paraId="5194ED57" w14:textId="77777777" w:rsidR="00E60CB4" w:rsidRDefault="00E60CB4" w:rsidP="00DF0CE1">
      <w:pPr>
        <w:ind w:firstLine="426"/>
        <w:jc w:val="both"/>
        <w:rPr>
          <w:color w:val="auto"/>
          <w:lang w:val="en-US"/>
        </w:rPr>
      </w:pPr>
    </w:p>
    <w:p w14:paraId="1D75063B" w14:textId="77777777" w:rsidR="00E60CB4" w:rsidRDefault="00E60CB4" w:rsidP="00DF0CE1">
      <w:pPr>
        <w:ind w:firstLine="426"/>
        <w:jc w:val="both"/>
        <w:rPr>
          <w:color w:val="auto"/>
          <w:lang w:val="en-US"/>
        </w:rPr>
      </w:pPr>
    </w:p>
    <w:p w14:paraId="2427DBD2" w14:textId="77777777" w:rsidR="00E60CB4" w:rsidRDefault="00E60CB4" w:rsidP="00DF0CE1">
      <w:pPr>
        <w:ind w:firstLine="426"/>
        <w:jc w:val="both"/>
        <w:rPr>
          <w:color w:val="auto"/>
          <w:lang w:val="en-US"/>
        </w:rPr>
      </w:pPr>
    </w:p>
    <w:p w14:paraId="3ED3B464" w14:textId="77777777" w:rsidR="00E60CB4" w:rsidRDefault="00E60CB4" w:rsidP="00DF0CE1">
      <w:pPr>
        <w:ind w:firstLine="426"/>
        <w:jc w:val="both"/>
        <w:rPr>
          <w:color w:val="auto"/>
          <w:lang w:val="en-US"/>
        </w:rPr>
      </w:pPr>
    </w:p>
    <w:p w14:paraId="01D11824" w14:textId="77777777" w:rsidR="00E60CB4" w:rsidRDefault="00E60CB4" w:rsidP="00DF0CE1">
      <w:pPr>
        <w:ind w:firstLine="426"/>
        <w:jc w:val="both"/>
        <w:rPr>
          <w:color w:val="auto"/>
          <w:lang w:val="en-US"/>
        </w:rPr>
      </w:pPr>
    </w:p>
    <w:p w14:paraId="562E11FB" w14:textId="77777777" w:rsidR="00E60CB4" w:rsidRDefault="00E60CB4" w:rsidP="00DF0CE1">
      <w:pPr>
        <w:ind w:firstLine="426"/>
        <w:jc w:val="both"/>
        <w:rPr>
          <w:color w:val="auto"/>
          <w:lang w:val="en-US"/>
        </w:rPr>
      </w:pPr>
    </w:p>
    <w:p w14:paraId="57381B2B" w14:textId="77777777" w:rsidR="00E60CB4" w:rsidRDefault="00E60CB4" w:rsidP="00DF0CE1">
      <w:pPr>
        <w:ind w:firstLine="426"/>
        <w:jc w:val="both"/>
        <w:rPr>
          <w:color w:val="auto"/>
          <w:lang w:val="en-US"/>
        </w:rPr>
      </w:pPr>
    </w:p>
    <w:p w14:paraId="5AFF89DF" w14:textId="77777777" w:rsidR="00E60CB4" w:rsidRPr="00CD5E54" w:rsidRDefault="00E60CB4" w:rsidP="00DF0CE1">
      <w:pPr>
        <w:ind w:firstLine="426"/>
        <w:jc w:val="both"/>
        <w:rPr>
          <w:color w:val="auto"/>
          <w:lang w:val="en-US"/>
        </w:rPr>
      </w:pPr>
    </w:p>
    <w:p w14:paraId="21DBB1D5" w14:textId="18592833" w:rsidR="008F5F89" w:rsidRPr="00CD5E54" w:rsidRDefault="008F5F89" w:rsidP="00E60CB4">
      <w:pPr>
        <w:ind w:firstLine="851"/>
        <w:jc w:val="both"/>
        <w:rPr>
          <w:color w:val="auto"/>
          <w:lang w:val="en-US"/>
        </w:rPr>
      </w:pPr>
      <w:bookmarkStart w:id="4" w:name="SUB100"/>
      <w:bookmarkEnd w:id="4"/>
      <w:r w:rsidRPr="00CD5E54">
        <w:rPr>
          <w:b/>
          <w:bCs/>
          <w:color w:val="auto"/>
          <w:lang w:val="en-US"/>
        </w:rPr>
        <w:lastRenderedPageBreak/>
        <w:t xml:space="preserve">Chapter </w:t>
      </w:r>
      <w:r w:rsidR="00E60CB4">
        <w:rPr>
          <w:b/>
          <w:bCs/>
          <w:color w:val="auto"/>
          <w:lang w:val="en-US"/>
        </w:rPr>
        <w:t xml:space="preserve">1. </w:t>
      </w:r>
      <w:r w:rsidR="00E60CB4" w:rsidRPr="00CD5E54">
        <w:rPr>
          <w:rStyle w:val="a5"/>
          <w:b/>
          <w:color w:val="auto"/>
          <w:u w:val="none"/>
          <w:lang w:val="en-US"/>
        </w:rPr>
        <w:t>Analysis of the current state of the Damu Fund: analysis of the external environment</w:t>
      </w:r>
    </w:p>
    <w:p w14:paraId="0441EF4E" w14:textId="77777777" w:rsidR="008F5F89" w:rsidRPr="00CD5E54" w:rsidRDefault="008F5F89" w:rsidP="008F5F89">
      <w:pPr>
        <w:ind w:firstLine="426"/>
        <w:jc w:val="center"/>
        <w:rPr>
          <w:color w:val="auto"/>
          <w:lang w:val="en-US"/>
        </w:rPr>
      </w:pPr>
    </w:p>
    <w:p w14:paraId="70863C47" w14:textId="2F16518B" w:rsidR="008F5F89" w:rsidRPr="00E60CB4" w:rsidRDefault="008F5F89" w:rsidP="008F5F89">
      <w:pPr>
        <w:ind w:firstLine="426"/>
        <w:jc w:val="center"/>
        <w:rPr>
          <w:b/>
          <w:bCs/>
          <w:color w:val="auto"/>
          <w:lang w:val="en-US"/>
        </w:rPr>
      </w:pPr>
      <w:bookmarkStart w:id="5" w:name="SUB10100"/>
      <w:bookmarkEnd w:id="5"/>
      <w:r w:rsidRPr="00CD5E54">
        <w:rPr>
          <w:b/>
          <w:bCs/>
          <w:color w:val="auto"/>
          <w:lang w:val="en-US"/>
        </w:rPr>
        <w:t xml:space="preserve">Section 1. </w:t>
      </w:r>
      <w:r w:rsidR="00E60CB4" w:rsidRPr="00E60CB4">
        <w:rPr>
          <w:b/>
          <w:bCs/>
          <w:lang w:val="en-US"/>
        </w:rPr>
        <w:t>The scale of the MSME sector and the dynamics of its development</w:t>
      </w:r>
    </w:p>
    <w:p w14:paraId="68C371CB" w14:textId="77777777" w:rsidR="008F5F89" w:rsidRPr="00E60CB4" w:rsidRDefault="008F5F89" w:rsidP="008F5F89">
      <w:pPr>
        <w:ind w:firstLine="426"/>
        <w:jc w:val="center"/>
        <w:rPr>
          <w:b/>
          <w:bCs/>
          <w:color w:val="auto"/>
          <w:lang w:val="en-US"/>
        </w:rPr>
      </w:pPr>
    </w:p>
    <w:p w14:paraId="2CF15848" w14:textId="77777777" w:rsidR="008F5F89" w:rsidRPr="00CD5E54" w:rsidRDefault="008F5F89" w:rsidP="008F5F89">
      <w:pPr>
        <w:rPr>
          <w:bCs/>
          <w:i/>
          <w:color w:val="auto"/>
          <w:lang w:val="en-US"/>
        </w:rPr>
      </w:pPr>
      <w:r w:rsidRPr="00CD5E54">
        <w:rPr>
          <w:bCs/>
          <w:i/>
          <w:color w:val="auto"/>
          <w:lang w:val="en-US"/>
        </w:rPr>
        <w:t>Domestic Market Analysis: Number of Operating MSMEs</w:t>
      </w:r>
    </w:p>
    <w:p w14:paraId="41D48C56" w14:textId="77777777" w:rsidR="008F5F89" w:rsidRPr="001F748C" w:rsidRDefault="008F5F89"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Micro, small, and medium-sized enterprises (hereinafter referred to as MSMEs) have become a widespread and relatively dynamic phenomenon in the Republic of Kazakhstan. This rapid growth has a significant impact on the country's overall economic situation, and Kazakhstan is no exception.</w:t>
      </w:r>
    </w:p>
    <w:p w14:paraId="12189257" w14:textId="77777777" w:rsidR="008F5F89" w:rsidRPr="001F748C" w:rsidRDefault="00C6344A"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Since 2015, the number of active MSMEs has increased by 70%, reaching 2,109,000 as of June 1, 2025. This represents just over 97% of the total number of active SMEs in the country.</w:t>
      </w:r>
    </w:p>
    <w:p w14:paraId="53B2D7F0" w14:textId="77777777" w:rsidR="008F5F89" w:rsidRPr="00CD5E54" w:rsidRDefault="008F5F89" w:rsidP="00C6344A">
      <w:pPr>
        <w:rPr>
          <w:sz w:val="16"/>
          <w:szCs w:val="16"/>
          <w:lang w:val="en-US"/>
        </w:rPr>
      </w:pPr>
      <w:r w:rsidRPr="001F748C">
        <w:rPr>
          <w:noProof/>
          <w:color w:val="auto"/>
        </w:rPr>
        <mc:AlternateContent>
          <mc:Choice Requires="wps">
            <w:drawing>
              <wp:anchor distT="0" distB="0" distL="114300" distR="114300" simplePos="0" relativeHeight="251717632" behindDoc="0" locked="0" layoutInCell="1" allowOverlap="1" wp14:anchorId="2600D4D3" wp14:editId="08F176F3">
                <wp:simplePos x="0" y="0"/>
                <wp:positionH relativeFrom="column">
                  <wp:posOffset>285916</wp:posOffset>
                </wp:positionH>
                <wp:positionV relativeFrom="paragraph">
                  <wp:posOffset>3810</wp:posOffset>
                </wp:positionV>
                <wp:extent cx="5489376" cy="307777"/>
                <wp:effectExtent l="0" t="0" r="0" b="0"/>
                <wp:wrapNone/>
                <wp:docPr id="37" name="Прямоугольник 36"/>
                <wp:cNvGraphicFramePr/>
                <a:graphic xmlns:a="http://schemas.openxmlformats.org/drawingml/2006/main">
                  <a:graphicData uri="http://schemas.microsoft.com/office/word/2010/wordprocessingShape">
                    <wps:wsp>
                      <wps:cNvSpPr/>
                      <wps:spPr>
                        <a:xfrm>
                          <a:off x="0" y="0"/>
                          <a:ext cx="5489376" cy="307777"/>
                        </a:xfrm>
                        <a:prstGeom prst="rect">
                          <a:avLst/>
                        </a:prstGeom>
                      </wps:spPr>
                      <wps:txbx>
                        <w:txbxContent>
                          <w:p w14:paraId="303A6DA3" w14:textId="77777777" w:rsidR="00D4323D" w:rsidRPr="00CD5E54" w:rsidRDefault="00D4323D" w:rsidP="008F5F89">
                            <w:pPr>
                              <w:jc w:val="center"/>
                              <w:rPr>
                                <w:b/>
                                <w:bCs/>
                                <w:color w:val="000000" w:themeColor="text1"/>
                                <w:kern w:val="24"/>
                                <w:sz w:val="20"/>
                                <w:szCs w:val="20"/>
                                <w:lang w:val="en-US"/>
                              </w:rPr>
                            </w:pPr>
                            <w:r w:rsidRPr="00CD5E54">
                              <w:rPr>
                                <w:b/>
                                <w:bCs/>
                                <w:color w:val="000000" w:themeColor="text1"/>
                                <w:kern w:val="24"/>
                                <w:sz w:val="20"/>
                                <w:szCs w:val="20"/>
                                <w:lang w:val="en-US"/>
                              </w:rPr>
                              <w:t>Number of registered and operating MSMEs</w:t>
                            </w:r>
                          </w:p>
                        </w:txbxContent>
                      </wps:txbx>
                      <wps:bodyPr wrap="squar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00D4D3" id="Прямоугольник 36" o:spid="_x0000_s1026" style="position:absolute;margin-left:22.5pt;margin-top:.3pt;width:432.25pt;height:24.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" filled="f" stroked="f">
                <v:textbox style="mso-fit-shape-to-text:t">
                  <w:txbxContent>
                    <w:p w14:paraId="303A6DA3" w14:textId="77777777" w:rsidR="00D4323D" w:rsidRPr="00CD5E54" w:rsidRDefault="00D4323D" w:rsidP="008F5F89">
                      <w:pPr>
                        <w:jc w:val="center"/>
                        <w:rPr>
                          <w:b/>
                          <w:bCs/>
                          <w:color w:val="000000" w:themeColor="text1"/>
                          <w:kern w:val="24"/>
                          <w:sz w:val="20"/>
                          <w:szCs w:val="20"/>
                          <w:lang w:val="en-US"/>
                        </w:rPr>
                      </w:pPr>
                      <w:r w:rsidRPr="00CD5E54">
                        <w:rPr>
                          <w:b/>
                          <w:bCs/>
                          <w:color w:val="000000" w:themeColor="text1"/>
                          <w:kern w:val="24"/>
                          <w:sz w:val="20"/>
                          <w:szCs w:val="20"/>
                          <w:lang w:val="en-US"/>
                        </w:rPr>
                        <w:t>Number of registered and operating MSMEs</w:t>
                      </w:r>
                    </w:p>
                  </w:txbxContent>
                </v:textbox>
              </v:rect>
            </w:pict>
          </mc:Fallback>
        </mc:AlternateContent>
      </w:r>
      <w:r w:rsidRPr="00CD5E54">
        <w:rPr>
          <w:rFonts w:ascii="KZ Domain Display Black" w:hAnsi="KZ Domain Display Black"/>
          <w:b/>
          <w:bCs/>
          <w:color w:val="auto"/>
          <w:kern w:val="24"/>
          <w:sz w:val="16"/>
          <w:szCs w:val="14"/>
          <w:lang w:val="en-US"/>
        </w:rPr>
        <w:t xml:space="preserve"> </w:t>
      </w:r>
    </w:p>
    <w:p w14:paraId="0F130535" w14:textId="77777777" w:rsidR="00C6344A" w:rsidRPr="00CD5E54" w:rsidRDefault="00C6344A" w:rsidP="00C6344A">
      <w:pPr>
        <w:rPr>
          <w:rFonts w:ascii="KZ Domain Display Black" w:hAnsi="KZ Domain Display Black" w:hint="eastAsia"/>
          <w:b/>
          <w:bCs/>
          <w:color w:val="auto"/>
          <w:kern w:val="24"/>
          <w:sz w:val="16"/>
          <w:szCs w:val="14"/>
          <w:lang w:val="en-US"/>
        </w:rPr>
      </w:pPr>
    </w:p>
    <w:p w14:paraId="67BB6EC2" w14:textId="77777777" w:rsidR="00C6344A" w:rsidRPr="00512D47" w:rsidRDefault="00C6344A" w:rsidP="00C6344A">
      <w:pPr>
        <w:pStyle w:val="af1"/>
        <w:ind w:left="0" w:firstLine="142"/>
        <w:jc w:val="both"/>
        <w:rPr>
          <w:rFonts w:ascii="Times New Roman" w:hAnsi="Times New Roman"/>
          <w:i/>
          <w:iCs/>
          <w:sz w:val="16"/>
          <w:szCs w:val="16"/>
          <w:lang w:val="en-US"/>
        </w:rPr>
      </w:pPr>
      <w:r>
        <w:rPr>
          <w:noProof/>
          <w:lang w:val="ru-RU" w:eastAsia="ru-RU"/>
        </w:rPr>
        <w:drawing>
          <wp:inline distT="0" distB="0" distL="0" distR="0" wp14:anchorId="326D0904" wp14:editId="1BFFB5E6">
            <wp:extent cx="6210300" cy="2400300"/>
            <wp:effectExtent l="0" t="0" r="0" b="0"/>
            <wp:docPr id="1969314245" name="Диаграмма 1">
              <a:extLst xmlns:a="http://schemas.openxmlformats.org/drawingml/2006/main">
                <a:ext uri="{FF2B5EF4-FFF2-40B4-BE49-F238E27FC236}">
                  <a16:creationId xmlns:a16="http://schemas.microsoft.com/office/drawing/2014/main" id="{60254530-918F-F324-7FEB-28A1EEB2F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9504A3" w14:textId="77777777" w:rsidR="00C6344A" w:rsidRPr="00CD5E54" w:rsidRDefault="00C6344A" w:rsidP="00C6344A">
      <w:pPr>
        <w:pStyle w:val="af1"/>
        <w:ind w:left="426"/>
        <w:jc w:val="both"/>
        <w:rPr>
          <w:rFonts w:ascii="Times New Roman" w:hAnsi="Times New Roman"/>
          <w:sz w:val="16"/>
          <w:szCs w:val="16"/>
          <w:lang w:val="en-US"/>
        </w:rPr>
      </w:pPr>
      <w:r w:rsidRPr="00CD5E54">
        <w:rPr>
          <w:rFonts w:ascii="Times New Roman" w:hAnsi="Times New Roman"/>
          <w:i/>
          <w:iCs/>
          <w:sz w:val="16"/>
          <w:szCs w:val="16"/>
          <w:lang w:val="en-US"/>
        </w:rPr>
        <w:t>Source: Bureau of Statistics (</w:t>
      </w:r>
      <w:hyperlink r:id="rId9" w:history="1">
        <w:r w:rsidRPr="00CD5E54">
          <w:rPr>
            <w:rStyle w:val="a5"/>
            <w:rFonts w:ascii="Times New Roman" w:hAnsi="Times New Roman"/>
            <w:i/>
            <w:iCs/>
            <w:color w:val="auto"/>
            <w:sz w:val="16"/>
            <w:szCs w:val="16"/>
            <w:lang w:val="en-US"/>
          </w:rPr>
          <w:t>www.stat.gov.kz</w:t>
        </w:r>
      </w:hyperlink>
      <w:r w:rsidRPr="00CD5E54">
        <w:rPr>
          <w:rFonts w:ascii="Times New Roman" w:hAnsi="Times New Roman"/>
          <w:i/>
          <w:iCs/>
          <w:sz w:val="16"/>
          <w:szCs w:val="16"/>
          <w:lang w:val="en-US"/>
        </w:rPr>
        <w:t>)</w:t>
      </w:r>
    </w:p>
    <w:p w14:paraId="1BDF93DE" w14:textId="77777777" w:rsidR="00C6344A" w:rsidRPr="00CD5E54" w:rsidRDefault="00C6344A" w:rsidP="008F5F89">
      <w:pPr>
        <w:pStyle w:val="af1"/>
        <w:spacing w:after="0" w:line="240" w:lineRule="auto"/>
        <w:ind w:left="426"/>
        <w:jc w:val="both"/>
        <w:rPr>
          <w:rFonts w:ascii="Times New Roman" w:hAnsi="Times New Roman"/>
          <w:sz w:val="24"/>
          <w:szCs w:val="24"/>
          <w:lang w:val="en-US"/>
        </w:rPr>
      </w:pPr>
    </w:p>
    <w:p w14:paraId="6B387D65" w14:textId="77777777" w:rsidR="008F5F89" w:rsidRPr="001F748C" w:rsidRDefault="00C6344A"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In terms of entity size, the number of operating micro-small enterprises (MSMEs) is 99%, while medium-sized enterprises account for less than 1% of the total number of MSMEs. In terms of MSME structure by legal form, the number of enterprises operating as sole proprietors has increased by 45,600 units since the beginning of the year. Their share of the total MSME structure has increased to 70.6%. Thus, the growth rate of MSMEs is increasing due to the increase in sole proprietors.</w:t>
      </w:r>
    </w:p>
    <w:p w14:paraId="712F6C0C" w14:textId="77777777" w:rsidR="00C6344A" w:rsidRPr="00C6344A" w:rsidRDefault="00C6344A" w:rsidP="00C6344A">
      <w:pPr>
        <w:pStyle w:val="af1"/>
        <w:ind w:left="0"/>
        <w:rPr>
          <w:noProof/>
        </w:rPr>
      </w:pPr>
      <w:r w:rsidRPr="001F748C">
        <w:rPr>
          <w:noProof/>
          <w:lang w:val="ru-RU" w:eastAsia="ru-RU"/>
        </w:rPr>
        <mc:AlternateContent>
          <mc:Choice Requires="wps">
            <w:drawing>
              <wp:anchor distT="0" distB="0" distL="114300" distR="114300" simplePos="0" relativeHeight="251726848" behindDoc="0" locked="0" layoutInCell="1" allowOverlap="1" wp14:anchorId="3BF1EB0F" wp14:editId="4AD36242">
                <wp:simplePos x="0" y="0"/>
                <wp:positionH relativeFrom="margin">
                  <wp:posOffset>278295</wp:posOffset>
                </wp:positionH>
                <wp:positionV relativeFrom="paragraph">
                  <wp:posOffset>26035</wp:posOffset>
                </wp:positionV>
                <wp:extent cx="5489376" cy="523220"/>
                <wp:effectExtent l="0" t="0" r="0" b="0"/>
                <wp:wrapNone/>
                <wp:docPr id="43" name="Прямоугольник 42"/>
                <wp:cNvGraphicFramePr/>
                <a:graphic xmlns:a="http://schemas.openxmlformats.org/drawingml/2006/main">
                  <a:graphicData uri="http://schemas.microsoft.com/office/word/2010/wordprocessingShape">
                    <wps:wsp>
                      <wps:cNvSpPr/>
                      <wps:spPr>
                        <a:xfrm>
                          <a:off x="0" y="0"/>
                          <a:ext cx="5489376" cy="523220"/>
                        </a:xfrm>
                        <a:prstGeom prst="rect">
                          <a:avLst/>
                        </a:prstGeom>
                      </wps:spPr>
                      <wps:txbx>
                        <w:txbxContent>
                          <w:p w14:paraId="53260EA3" w14:textId="77777777" w:rsidR="00D4323D" w:rsidRPr="00CD5E54" w:rsidRDefault="00D4323D" w:rsidP="00C6344A">
                            <w:pPr>
                              <w:jc w:val="center"/>
                              <w:rPr>
                                <w:b/>
                                <w:bCs/>
                                <w:color w:val="000000" w:themeColor="text1"/>
                                <w:kern w:val="24"/>
                                <w:sz w:val="20"/>
                                <w:szCs w:val="20"/>
                                <w:lang w:val="en-US"/>
                              </w:rPr>
                            </w:pPr>
                            <w:r w:rsidRPr="00CD5E54">
                              <w:rPr>
                                <w:b/>
                                <w:bCs/>
                                <w:color w:val="000000" w:themeColor="text1"/>
                                <w:kern w:val="24"/>
                                <w:sz w:val="20"/>
                                <w:szCs w:val="20"/>
                                <w:lang w:val="en-US"/>
                              </w:rPr>
                              <w:t>The share of medium-sized businesses</w:t>
                            </w:r>
                          </w:p>
                        </w:txbxContent>
                      </wps:txbx>
                      <wps:bodyPr wrap="squar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F1EB0F" id="Прямоугольник 42" o:spid="_x0000_s1027" style="position:absolute;margin-left:21.9pt;margin-top:2.05pt;width:432.25pt;height:41.2pt;z-index:251726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" filled="f" stroked="f">
                <v:textbox style="mso-fit-shape-to-text:t">
                  <w:txbxContent>
                    <w:p w14:paraId="53260EA3" w14:textId="77777777" w:rsidR="00D4323D" w:rsidRPr="00CD5E54" w:rsidRDefault="00D4323D" w:rsidP="00C6344A">
                      <w:pPr>
                        <w:jc w:val="center"/>
                        <w:rPr>
                          <w:b/>
                          <w:bCs/>
                          <w:color w:val="000000" w:themeColor="text1"/>
                          <w:kern w:val="24"/>
                          <w:sz w:val="20"/>
                          <w:szCs w:val="20"/>
                          <w:lang w:val="en-US"/>
                        </w:rPr>
                      </w:pPr>
                      <w:r w:rsidRPr="00CD5E54">
                        <w:rPr>
                          <w:b/>
                          <w:bCs/>
                          <w:color w:val="000000" w:themeColor="text1"/>
                          <w:kern w:val="24"/>
                          <w:sz w:val="20"/>
                          <w:szCs w:val="20"/>
                          <w:lang w:val="en-US"/>
                        </w:rPr>
                        <w:t>The share of medium-sized businesses</w:t>
                      </w:r>
                    </w:p>
                  </w:txbxContent>
                </v:textbox>
                <w10:wrap anchorx="margin"/>
              </v:rect>
            </w:pict>
          </mc:Fallback>
        </mc:AlternateContent>
      </w:r>
      <w:r>
        <w:rPr>
          <w:noProof/>
          <w:lang w:val="ru-RU" w:eastAsia="ru-RU"/>
        </w:rPr>
        <w:drawing>
          <wp:inline distT="0" distB="0" distL="0" distR="0" wp14:anchorId="2A6D6694" wp14:editId="4205051F">
            <wp:extent cx="6410325" cy="2276475"/>
            <wp:effectExtent l="0" t="0" r="9525" b="9525"/>
            <wp:docPr id="806782270" name="Диаграмма 1">
              <a:extLst xmlns:a="http://schemas.openxmlformats.org/drawingml/2006/main">
                <a:ext uri="{FF2B5EF4-FFF2-40B4-BE49-F238E27FC236}">
                  <a16:creationId xmlns:a16="http://schemas.microsoft.com/office/drawing/2014/main" id="{BF581E2D-7463-24C6-6FB0-3EF1BBF17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50F8D4" w14:textId="77777777" w:rsidR="00C6344A" w:rsidRPr="00CD5E54" w:rsidRDefault="00C6344A" w:rsidP="00C6344A">
      <w:pPr>
        <w:pStyle w:val="af1"/>
        <w:ind w:left="0"/>
        <w:jc w:val="both"/>
        <w:rPr>
          <w:rFonts w:ascii="Times New Roman" w:hAnsi="Times New Roman"/>
          <w:sz w:val="16"/>
          <w:szCs w:val="16"/>
          <w:lang w:val="en-US"/>
        </w:rPr>
      </w:pPr>
      <w:r w:rsidRPr="00CD5E54">
        <w:rPr>
          <w:rFonts w:ascii="Times New Roman" w:hAnsi="Times New Roman"/>
          <w:i/>
          <w:iCs/>
          <w:sz w:val="16"/>
          <w:szCs w:val="16"/>
          <w:lang w:val="en-US"/>
        </w:rPr>
        <w:t>Source: Bureau of Statistics (</w:t>
      </w:r>
      <w:hyperlink r:id="rId11" w:history="1">
        <w:r w:rsidRPr="00CD5E54">
          <w:rPr>
            <w:rStyle w:val="a5"/>
            <w:rFonts w:ascii="Times New Roman" w:hAnsi="Times New Roman"/>
            <w:i/>
            <w:iCs/>
            <w:color w:val="auto"/>
            <w:sz w:val="16"/>
            <w:szCs w:val="16"/>
            <w:lang w:val="en-US"/>
          </w:rPr>
          <w:t>www.stat.gov.kz</w:t>
        </w:r>
      </w:hyperlink>
      <w:r w:rsidRPr="00CD5E54">
        <w:rPr>
          <w:rFonts w:ascii="Times New Roman" w:hAnsi="Times New Roman"/>
          <w:i/>
          <w:iCs/>
          <w:sz w:val="16"/>
          <w:szCs w:val="16"/>
          <w:lang w:val="en-US"/>
        </w:rPr>
        <w:t>)</w:t>
      </w:r>
    </w:p>
    <w:p w14:paraId="1466A938" w14:textId="77777777" w:rsidR="00C6344A" w:rsidRPr="00C6344A" w:rsidRDefault="00C6344A" w:rsidP="00C6344A">
      <w:pPr>
        <w:pStyle w:val="af1"/>
        <w:ind w:left="0"/>
        <w:rPr>
          <w:noProof/>
        </w:rPr>
      </w:pPr>
    </w:p>
    <w:p w14:paraId="417698C5" w14:textId="77777777" w:rsidR="00C6344A" w:rsidRPr="00D7431C" w:rsidRDefault="00C6344A" w:rsidP="00C6344A">
      <w:pPr>
        <w:pStyle w:val="af1"/>
        <w:spacing w:after="0" w:line="240" w:lineRule="auto"/>
        <w:ind w:left="0"/>
        <w:jc w:val="both"/>
        <w:rPr>
          <w:rFonts w:ascii="Times New Roman" w:hAnsi="Times New Roman"/>
          <w:sz w:val="24"/>
          <w:szCs w:val="24"/>
          <w:lang w:val="en-US"/>
        </w:rPr>
      </w:pPr>
      <w:r w:rsidRPr="00BB6CAE">
        <w:rPr>
          <w:rFonts w:ascii="Times New Roman" w:hAnsi="Times New Roman"/>
          <w:noProof/>
          <w:sz w:val="24"/>
          <w:szCs w:val="24"/>
          <w:lang w:val="ru-RU" w:eastAsia="ru-RU"/>
        </w:rPr>
        <w:lastRenderedPageBreak/>
        <w:drawing>
          <wp:inline distT="0" distB="0" distL="0" distR="0" wp14:anchorId="55A2496E" wp14:editId="4DE7F2A0">
            <wp:extent cx="5805170" cy="1940560"/>
            <wp:effectExtent l="0" t="0" r="5080" b="25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CF85B8" w14:textId="77777777" w:rsidR="00C6344A" w:rsidRPr="00CD5E54" w:rsidRDefault="00C6344A" w:rsidP="00C6344A">
      <w:pPr>
        <w:pStyle w:val="af1"/>
        <w:ind w:left="0"/>
        <w:jc w:val="both"/>
        <w:rPr>
          <w:rFonts w:ascii="Times New Roman" w:hAnsi="Times New Roman"/>
          <w:sz w:val="16"/>
          <w:szCs w:val="16"/>
          <w:lang w:val="en-US"/>
        </w:rPr>
      </w:pPr>
      <w:r w:rsidRPr="00CD5E54">
        <w:rPr>
          <w:rFonts w:ascii="Times New Roman" w:hAnsi="Times New Roman"/>
          <w:i/>
          <w:iCs/>
          <w:sz w:val="16"/>
          <w:szCs w:val="16"/>
          <w:lang w:val="en-US"/>
        </w:rPr>
        <w:t>Source: Bureau of Statistics (</w:t>
      </w:r>
      <w:hyperlink r:id="rId13" w:history="1">
        <w:r w:rsidRPr="00CD5E54">
          <w:rPr>
            <w:rStyle w:val="a5"/>
            <w:rFonts w:ascii="Times New Roman" w:hAnsi="Times New Roman"/>
            <w:i/>
            <w:iCs/>
            <w:color w:val="auto"/>
            <w:sz w:val="16"/>
            <w:szCs w:val="16"/>
            <w:lang w:val="en-US"/>
          </w:rPr>
          <w:t>www.stat.gov.kz</w:t>
        </w:r>
      </w:hyperlink>
      <w:r w:rsidRPr="00CD5E54">
        <w:rPr>
          <w:rFonts w:ascii="Times New Roman" w:hAnsi="Times New Roman"/>
          <w:i/>
          <w:iCs/>
          <w:sz w:val="16"/>
          <w:szCs w:val="16"/>
          <w:lang w:val="en-US"/>
        </w:rPr>
        <w:t>)</w:t>
      </w:r>
    </w:p>
    <w:p w14:paraId="1D49E0FA" w14:textId="77777777" w:rsidR="00EE560F" w:rsidRPr="00CD5E54" w:rsidRDefault="00EE560F" w:rsidP="00FF4B9C">
      <w:pPr>
        <w:pStyle w:val="af1"/>
        <w:spacing w:after="0" w:line="240" w:lineRule="auto"/>
        <w:ind w:left="426"/>
        <w:jc w:val="both"/>
        <w:rPr>
          <w:rFonts w:ascii="Times New Roman" w:hAnsi="Times New Roman"/>
          <w:sz w:val="24"/>
          <w:szCs w:val="24"/>
          <w:lang w:val="en-US"/>
        </w:rPr>
      </w:pPr>
    </w:p>
    <w:p w14:paraId="36489756" w14:textId="77777777" w:rsidR="00841834" w:rsidRPr="001F748C" w:rsidRDefault="0063447D"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Damu Fund's support is focused primarily on priority economic sectors. By early June 2025, the Damu Fund's potential audience is 388,000 enterprises in identified priority sectors, including manufacturing, logistics, tourism, education, and medicine.</w:t>
      </w:r>
    </w:p>
    <w:p w14:paraId="19E280C8" w14:textId="77777777" w:rsidR="00843DF4" w:rsidRPr="001F748C" w:rsidRDefault="00843DF4" w:rsidP="0064244C">
      <w:pPr>
        <w:pStyle w:val="af1"/>
        <w:tabs>
          <w:tab w:val="left" w:pos="851"/>
        </w:tabs>
        <w:spacing w:after="0" w:line="240" w:lineRule="auto"/>
        <w:ind w:left="426" w:firstLine="567"/>
        <w:jc w:val="both"/>
        <w:rPr>
          <w:b/>
          <w:bCs/>
        </w:rPr>
      </w:pPr>
    </w:p>
    <w:p w14:paraId="21733786" w14:textId="77777777" w:rsidR="00FF4B9C" w:rsidRPr="00CD5E54" w:rsidRDefault="00843DF4" w:rsidP="0064244C">
      <w:pPr>
        <w:tabs>
          <w:tab w:val="left" w:pos="851"/>
        </w:tabs>
        <w:ind w:firstLine="567"/>
        <w:rPr>
          <w:bCs/>
          <w:i/>
          <w:color w:val="auto"/>
          <w:lang w:val="en-US"/>
        </w:rPr>
      </w:pPr>
      <w:r w:rsidRPr="00CD5E54">
        <w:rPr>
          <w:bCs/>
          <w:i/>
          <w:color w:val="auto"/>
          <w:lang w:val="en-US"/>
        </w:rPr>
        <w:t>Domestic Market Analysis: Number of People Employed in the Economy</w:t>
      </w:r>
    </w:p>
    <w:p w14:paraId="5C25D25D" w14:textId="77777777" w:rsidR="0063447D" w:rsidRPr="0063447D" w:rsidRDefault="0063447D"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role of MSMEs in providing employment in Kazakhstan is growing. By early 2025, MSMEs accounted for 48.0% of jobs nationwide. The growth rate of employment in MSMEs in 2024 was 2.2%, outpacing the overall growth rate of the country's employed population. By industry structure, the following sectors account for the majority of employment in MSMEs: wholesale and retail trade (30%), agriculture (11%), manufacturing (9%), and other industries (see graph below).</w:t>
      </w:r>
    </w:p>
    <w:p w14:paraId="32042CF3" w14:textId="77777777" w:rsidR="0063447D" w:rsidRPr="00CD5E54" w:rsidRDefault="0063447D" w:rsidP="0063447D">
      <w:pPr>
        <w:jc w:val="both"/>
        <w:rPr>
          <w:color w:val="auto"/>
          <w:lang w:val="en-US"/>
        </w:rPr>
      </w:pPr>
      <w:r w:rsidRPr="001F748C">
        <w:rPr>
          <w:noProof/>
          <w:color w:val="auto"/>
        </w:rPr>
        <mc:AlternateContent>
          <mc:Choice Requires="wps">
            <w:drawing>
              <wp:anchor distT="0" distB="0" distL="114300" distR="114300" simplePos="0" relativeHeight="251728896" behindDoc="0" locked="0" layoutInCell="1" allowOverlap="1" wp14:anchorId="5653D305" wp14:editId="68D33A0F">
                <wp:simplePos x="0" y="0"/>
                <wp:positionH relativeFrom="margin">
                  <wp:align>center</wp:align>
                </wp:positionH>
                <wp:positionV relativeFrom="paragraph">
                  <wp:posOffset>10795</wp:posOffset>
                </wp:positionV>
                <wp:extent cx="5489376" cy="307777"/>
                <wp:effectExtent l="0" t="0" r="0" b="0"/>
                <wp:wrapNone/>
                <wp:docPr id="38" name="Прямоугольник 37"/>
                <wp:cNvGraphicFramePr/>
                <a:graphic xmlns:a="http://schemas.openxmlformats.org/drawingml/2006/main">
                  <a:graphicData uri="http://schemas.microsoft.com/office/word/2010/wordprocessingShape">
                    <wps:wsp>
                      <wps:cNvSpPr/>
                      <wps:spPr>
                        <a:xfrm>
                          <a:off x="0" y="0"/>
                          <a:ext cx="5489376" cy="307777"/>
                        </a:xfrm>
                        <a:prstGeom prst="rect">
                          <a:avLst/>
                        </a:prstGeom>
                      </wps:spPr>
                      <wps:txbx>
                        <w:txbxContent>
                          <w:p w14:paraId="549125CA" w14:textId="77777777" w:rsidR="00D4323D" w:rsidRPr="00CD5E54" w:rsidRDefault="00D4323D" w:rsidP="0063447D">
                            <w:pPr>
                              <w:jc w:val="center"/>
                              <w:rPr>
                                <w:b/>
                                <w:bCs/>
                                <w:color w:val="000000" w:themeColor="text1"/>
                                <w:kern w:val="24"/>
                                <w:sz w:val="20"/>
                                <w:szCs w:val="20"/>
                                <w:lang w:val="en-US"/>
                              </w:rPr>
                            </w:pPr>
                            <w:r w:rsidRPr="00CD5E54">
                              <w:rPr>
                                <w:b/>
                                <w:bCs/>
                                <w:color w:val="000000" w:themeColor="text1"/>
                                <w:kern w:val="24"/>
                                <w:sz w:val="20"/>
                                <w:szCs w:val="20"/>
                                <w:lang w:val="en-US"/>
                              </w:rPr>
                              <w:t>Number of people employed in the economy</w:t>
                            </w:r>
                          </w:p>
                        </w:txbxContent>
                      </wps:txbx>
                      <wps:bodyPr wrap="squar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53D305" id="Прямоугольник 37" o:spid="_x0000_s1028" style="position:absolute;left:0;text-align:left;margin-left:0;margin-top:.85pt;width:432.25pt;height:24.25pt;z-index:2517288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" filled="f" stroked="f">
                <v:textbox style="mso-fit-shape-to-text:t">
                  <w:txbxContent>
                    <w:p w14:paraId="549125CA" w14:textId="77777777" w:rsidR="00D4323D" w:rsidRPr="00CD5E54" w:rsidRDefault="00D4323D" w:rsidP="0063447D">
                      <w:pPr>
                        <w:jc w:val="center"/>
                        <w:rPr>
                          <w:b/>
                          <w:bCs/>
                          <w:color w:val="000000" w:themeColor="text1"/>
                          <w:kern w:val="24"/>
                          <w:sz w:val="20"/>
                          <w:szCs w:val="20"/>
                          <w:lang w:val="en-US"/>
                        </w:rPr>
                      </w:pPr>
                      <w:r w:rsidRPr="00CD5E54">
                        <w:rPr>
                          <w:b/>
                          <w:bCs/>
                          <w:color w:val="000000" w:themeColor="text1"/>
                          <w:kern w:val="24"/>
                          <w:sz w:val="20"/>
                          <w:szCs w:val="20"/>
                          <w:lang w:val="en-US"/>
                        </w:rPr>
                        <w:t>Number of people employed in the economy</w:t>
                      </w:r>
                    </w:p>
                  </w:txbxContent>
                </v:textbox>
                <w10:wrap anchorx="margin"/>
              </v:rect>
            </w:pict>
          </mc:Fallback>
        </mc:AlternateContent>
      </w:r>
    </w:p>
    <w:p w14:paraId="653D4715" w14:textId="77777777" w:rsidR="0063447D" w:rsidRPr="001F748C" w:rsidRDefault="00A469D0" w:rsidP="0063447D">
      <w:pPr>
        <w:jc w:val="both"/>
        <w:rPr>
          <w:color w:val="auto"/>
        </w:rPr>
      </w:pPr>
      <w:r w:rsidRPr="005F14A0">
        <w:rPr>
          <w:noProof/>
          <w:color w:val="auto"/>
        </w:rPr>
        <w:drawing>
          <wp:inline distT="0" distB="0" distL="0" distR="0" wp14:anchorId="0A674A16" wp14:editId="3791F267">
            <wp:extent cx="6178550" cy="2449830"/>
            <wp:effectExtent l="0" t="0" r="12700" b="7620"/>
            <wp:docPr id="1852549320" name="Диаграмма 1">
              <a:extLst xmlns:a="http://schemas.openxmlformats.org/drawingml/2006/main">
                <a:ext uri="{FF2B5EF4-FFF2-40B4-BE49-F238E27FC236}">
                  <a16:creationId xmlns:a16="http://schemas.microsoft.com/office/drawing/2014/main" id="{C29A20E8-3A50-7116-49FE-248EA9466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DCE48A" w14:textId="77777777" w:rsidR="0063447D" w:rsidRPr="00CD5E54" w:rsidRDefault="0063447D" w:rsidP="0063447D">
      <w:pPr>
        <w:jc w:val="both"/>
        <w:rPr>
          <w:color w:val="auto"/>
          <w:lang w:val="en-US"/>
        </w:rPr>
      </w:pPr>
      <w:r w:rsidRPr="00CD5E54">
        <w:rPr>
          <w:rFonts w:eastAsia="Calibri"/>
          <w:i/>
          <w:iCs/>
          <w:color w:val="auto"/>
          <w:sz w:val="16"/>
          <w:szCs w:val="16"/>
          <w:lang w:val="en-US" w:eastAsia="en-US"/>
        </w:rPr>
        <w:t>Source: Bureau of Statistics (</w:t>
      </w:r>
      <w:hyperlink r:id="rId15" w:history="1">
        <w:r w:rsidRPr="00CD5E54">
          <w:rPr>
            <w:rStyle w:val="a5"/>
            <w:i/>
            <w:iCs/>
            <w:color w:val="auto"/>
            <w:sz w:val="16"/>
            <w:szCs w:val="16"/>
            <w:lang w:val="en-US" w:eastAsia="en-US"/>
          </w:rPr>
          <w:t>www.stat.gov.kz</w:t>
        </w:r>
      </w:hyperlink>
      <w:r w:rsidRPr="00CD5E54">
        <w:rPr>
          <w:rFonts w:eastAsia="Calibri"/>
          <w:i/>
          <w:iCs/>
          <w:color w:val="auto"/>
          <w:sz w:val="16"/>
          <w:szCs w:val="16"/>
          <w:lang w:val="en-US" w:eastAsia="en-US"/>
        </w:rPr>
        <w:t>)</w:t>
      </w:r>
    </w:p>
    <w:p w14:paraId="07388244" w14:textId="77777777" w:rsidR="0063447D" w:rsidRPr="00CD5E54" w:rsidRDefault="00AA6260" w:rsidP="0063447D">
      <w:pPr>
        <w:jc w:val="both"/>
        <w:rPr>
          <w:color w:val="auto"/>
          <w:lang w:val="en-US"/>
        </w:rPr>
      </w:pPr>
      <w:r w:rsidRPr="001F748C">
        <w:rPr>
          <w:noProof/>
          <w:color w:val="auto"/>
        </w:rPr>
        <mc:AlternateContent>
          <mc:Choice Requires="wps">
            <w:drawing>
              <wp:anchor distT="0" distB="0" distL="114300" distR="114300" simplePos="0" relativeHeight="251730944" behindDoc="0" locked="0" layoutInCell="1" allowOverlap="1" wp14:anchorId="750D2D09" wp14:editId="1585A763">
                <wp:simplePos x="0" y="0"/>
                <wp:positionH relativeFrom="margin">
                  <wp:align>left</wp:align>
                </wp:positionH>
                <wp:positionV relativeFrom="paragraph">
                  <wp:posOffset>12700</wp:posOffset>
                </wp:positionV>
                <wp:extent cx="6299200" cy="238125"/>
                <wp:effectExtent l="0" t="0" r="0" b="0"/>
                <wp:wrapNone/>
                <wp:docPr id="1" name="Прямоугольник 40"/>
                <wp:cNvGraphicFramePr/>
                <a:graphic xmlns:a="http://schemas.openxmlformats.org/drawingml/2006/main">
                  <a:graphicData uri="http://schemas.microsoft.com/office/word/2010/wordprocessingShape">
                    <wps:wsp>
                      <wps:cNvSpPr/>
                      <wps:spPr>
                        <a:xfrm>
                          <a:off x="0" y="0"/>
                          <a:ext cx="6299200" cy="238125"/>
                        </a:xfrm>
                        <a:prstGeom prst="rect">
                          <a:avLst/>
                        </a:prstGeom>
                        <a:noFill/>
                      </wps:spPr>
                      <wps:txbx>
                        <w:txbxContent>
                          <w:p w14:paraId="0BD9D2C7" w14:textId="77777777" w:rsidR="00D4323D" w:rsidRPr="00CD5E54" w:rsidRDefault="00D4323D" w:rsidP="00AA6260">
                            <w:pPr>
                              <w:jc w:val="center"/>
                              <w:rPr>
                                <w:b/>
                                <w:bCs/>
                                <w:color w:val="000000" w:themeColor="text1"/>
                                <w:kern w:val="24"/>
                                <w:sz w:val="20"/>
                                <w:szCs w:val="20"/>
                                <w:lang w:val="en-US"/>
                              </w:rPr>
                            </w:pPr>
                            <w:r w:rsidRPr="00CD5E54">
                              <w:rPr>
                                <w:b/>
                                <w:bCs/>
                                <w:color w:val="000000" w:themeColor="text1"/>
                                <w:kern w:val="24"/>
                                <w:sz w:val="20"/>
                                <w:szCs w:val="20"/>
                                <w:lang w:val="en-US"/>
                              </w:rPr>
                              <w:t>Number of employed by economic sectors, thousand units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0D2D09" id="Прямоугольник 40" o:spid="_x0000_s1029" style="position:absolute;left:0;text-align:left;margin-left:0;margin-top:1pt;width:496pt;height:18.7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" filled="f" stroked="f">
                <v:textbox>
                  <w:txbxContent>
                    <w:p w14:paraId="0BD9D2C7" w14:textId="77777777" w:rsidR="00D4323D" w:rsidRPr="00CD5E54" w:rsidRDefault="00D4323D" w:rsidP="00AA6260">
                      <w:pPr>
                        <w:jc w:val="center"/>
                        <w:rPr>
                          <w:b/>
                          <w:bCs/>
                          <w:color w:val="000000" w:themeColor="text1"/>
                          <w:kern w:val="24"/>
                          <w:sz w:val="20"/>
                          <w:szCs w:val="20"/>
                          <w:lang w:val="en-US"/>
                        </w:rPr>
                      </w:pPr>
                      <w:r w:rsidRPr="00CD5E54">
                        <w:rPr>
                          <w:b/>
                          <w:bCs/>
                          <w:color w:val="000000" w:themeColor="text1"/>
                          <w:kern w:val="24"/>
                          <w:sz w:val="20"/>
                          <w:szCs w:val="20"/>
                          <w:lang w:val="en-US"/>
                        </w:rPr>
                        <w:t>Number of employed by economic sectors, thousand units</w:t>
                      </w:r>
                    </w:p>
                  </w:txbxContent>
                </v:textbox>
                <w10:wrap anchorx="margin"/>
              </v:rect>
            </w:pict>
          </mc:Fallback>
        </mc:AlternateContent>
      </w:r>
    </w:p>
    <w:p w14:paraId="1DEA0F0C" w14:textId="77777777" w:rsidR="00504EC8" w:rsidRPr="001F748C" w:rsidRDefault="00AA6260" w:rsidP="00AA6260">
      <w:pPr>
        <w:tabs>
          <w:tab w:val="left" w:pos="851"/>
        </w:tabs>
        <w:jc w:val="both"/>
        <w:rPr>
          <w:color w:val="auto"/>
        </w:rPr>
      </w:pPr>
      <w:r>
        <w:rPr>
          <w:noProof/>
        </w:rPr>
        <w:drawing>
          <wp:inline distT="0" distB="0" distL="0" distR="0" wp14:anchorId="437330D8" wp14:editId="3525AAEE">
            <wp:extent cx="6210300" cy="2203956"/>
            <wp:effectExtent l="0" t="0" r="0" b="6350"/>
            <wp:docPr id="45494147" name="Диаграмма 1">
              <a:extLst xmlns:a="http://schemas.openxmlformats.org/drawingml/2006/main">
                <a:ext uri="{FF2B5EF4-FFF2-40B4-BE49-F238E27FC236}">
                  <a16:creationId xmlns:a16="http://schemas.microsoft.com/office/drawing/2014/main" id="{D258E64C-C391-6FFD-FB32-6781F4AC6D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4FF682" w14:textId="77777777" w:rsidR="00AA6260" w:rsidRPr="001F748C" w:rsidRDefault="00A469D0" w:rsidP="00AA6260">
      <w:pPr>
        <w:tabs>
          <w:tab w:val="left" w:pos="284"/>
        </w:tabs>
        <w:jc w:val="both"/>
        <w:rPr>
          <w:color w:val="auto"/>
        </w:rPr>
      </w:pPr>
      <w:r w:rsidRPr="001F748C">
        <w:rPr>
          <w:noProof/>
          <w:color w:val="auto"/>
        </w:rPr>
        <w:lastRenderedPageBreak/>
        <w:drawing>
          <wp:inline distT="0" distB="0" distL="0" distR="0" wp14:anchorId="011B4BD9" wp14:editId="0F398014">
            <wp:extent cx="6210300" cy="2306683"/>
            <wp:effectExtent l="0" t="0" r="0" b="17780"/>
            <wp:docPr id="1681769778" name="Chart 1">
              <a:extLst xmlns:a="http://schemas.openxmlformats.org/drawingml/2006/main">
                <a:ext uri="{FF2B5EF4-FFF2-40B4-BE49-F238E27FC236}">
                  <a16:creationId xmlns:a16="http://schemas.microsoft.com/office/drawing/2014/main" id="{7DE85BF5-1F1F-21C4-553D-FD0717CED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B0A715" w14:textId="77777777" w:rsidR="00AA6260" w:rsidRPr="00CD5E54" w:rsidRDefault="00AA6260" w:rsidP="00AA6260">
      <w:pPr>
        <w:tabs>
          <w:tab w:val="left" w:pos="284"/>
        </w:tabs>
        <w:jc w:val="both"/>
        <w:rPr>
          <w:color w:val="auto"/>
          <w:lang w:val="en-US"/>
        </w:rPr>
      </w:pPr>
      <w:r w:rsidRPr="00CD5E54">
        <w:rPr>
          <w:rFonts w:eastAsia="Calibri"/>
          <w:i/>
          <w:iCs/>
          <w:color w:val="auto"/>
          <w:sz w:val="16"/>
          <w:szCs w:val="16"/>
          <w:lang w:val="en-US" w:eastAsia="en-US"/>
        </w:rPr>
        <w:t>Source: Bureau of Statistics (</w:t>
      </w:r>
      <w:hyperlink r:id="rId18" w:history="1">
        <w:r w:rsidRPr="00CD5E54">
          <w:rPr>
            <w:rStyle w:val="a5"/>
            <w:i/>
            <w:iCs/>
            <w:color w:val="auto"/>
            <w:sz w:val="16"/>
            <w:szCs w:val="16"/>
            <w:lang w:val="en-US" w:eastAsia="en-US"/>
          </w:rPr>
          <w:t>www.stat.gov.kz</w:t>
        </w:r>
      </w:hyperlink>
      <w:r w:rsidRPr="00CD5E54">
        <w:rPr>
          <w:rFonts w:eastAsia="Calibri"/>
          <w:i/>
          <w:iCs/>
          <w:color w:val="auto"/>
          <w:sz w:val="16"/>
          <w:szCs w:val="16"/>
          <w:lang w:val="en-US" w:eastAsia="en-US"/>
        </w:rPr>
        <w:t>)</w:t>
      </w:r>
    </w:p>
    <w:p w14:paraId="4106798A" w14:textId="77777777" w:rsidR="00504EC8" w:rsidRPr="00CD5E54" w:rsidRDefault="00504EC8" w:rsidP="007E0F54">
      <w:pPr>
        <w:rPr>
          <w:bCs/>
          <w:i/>
          <w:color w:val="auto"/>
          <w:lang w:val="en-US"/>
        </w:rPr>
      </w:pPr>
    </w:p>
    <w:p w14:paraId="307183B7" w14:textId="77777777" w:rsidR="00FF4B9C" w:rsidRPr="00CD5E54" w:rsidRDefault="007E0F54" w:rsidP="0064244C">
      <w:pPr>
        <w:tabs>
          <w:tab w:val="left" w:pos="851"/>
        </w:tabs>
        <w:ind w:firstLine="567"/>
        <w:rPr>
          <w:bCs/>
          <w:i/>
          <w:color w:val="auto"/>
          <w:lang w:val="en-US"/>
        </w:rPr>
      </w:pPr>
      <w:r w:rsidRPr="00CD5E54">
        <w:rPr>
          <w:bCs/>
          <w:i/>
          <w:color w:val="auto"/>
          <w:lang w:val="en-US"/>
        </w:rPr>
        <w:t>Domestic Market Analysis: Gross Domestic Product</w:t>
      </w:r>
    </w:p>
    <w:p w14:paraId="0DD6E27E" w14:textId="77777777" w:rsidR="00D77F1D" w:rsidRDefault="00A469D0"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One of the key aspects of micro, small, and medium enterprise development in Kazakhstan is its increasing impact on the economy and overall revenues. Since 2017, the volume of production and services provided by MSMEs has grown by 252%, reaching 82 trillion tenge. Of the total increase in MSME output for 2024, a full 87% is attributable to micro and small businesses, while the medium-sized business sector has shown growth of 13%.</w:t>
      </w:r>
    </w:p>
    <w:p w14:paraId="07BBBB8B" w14:textId="77777777" w:rsidR="0060065A" w:rsidRDefault="0060065A" w:rsidP="0060065A">
      <w:pPr>
        <w:pStyle w:val="af1"/>
        <w:spacing w:after="0" w:line="240" w:lineRule="auto"/>
        <w:ind w:left="426"/>
        <w:jc w:val="both"/>
        <w:rPr>
          <w:rFonts w:ascii="Times New Roman" w:hAnsi="Times New Roman"/>
          <w:sz w:val="24"/>
          <w:szCs w:val="24"/>
        </w:rPr>
      </w:pPr>
      <w:r w:rsidRPr="00C71134">
        <w:rPr>
          <w:rFonts w:ascii="Times New Roman" w:eastAsiaTheme="minorEastAsia" w:hAnsi="Times New Roman"/>
          <w:noProof/>
          <w:color w:val="000000"/>
          <w:sz w:val="24"/>
          <w:szCs w:val="24"/>
          <w:lang w:val="ru-RU" w:eastAsia="ru-RU"/>
        </w:rPr>
        <mc:AlternateContent>
          <mc:Choice Requires="wps">
            <w:drawing>
              <wp:anchor distT="0" distB="0" distL="114300" distR="114300" simplePos="0" relativeHeight="251711488" behindDoc="0" locked="0" layoutInCell="1" allowOverlap="1" wp14:anchorId="2BF3343E" wp14:editId="2C27FD9D">
                <wp:simplePos x="0" y="0"/>
                <wp:positionH relativeFrom="page">
                  <wp:posOffset>2945765</wp:posOffset>
                </wp:positionH>
                <wp:positionV relativeFrom="paragraph">
                  <wp:posOffset>104140</wp:posOffset>
                </wp:positionV>
                <wp:extent cx="2202815" cy="239395"/>
                <wp:effectExtent l="0" t="0" r="0" b="0"/>
                <wp:wrapNone/>
                <wp:docPr id="4" name="Прямоугольник 1">
                  <a:extLst xmlns:a="http://schemas.openxmlformats.org/drawingml/2006/main">
                    <a:ext uri="{FF2B5EF4-FFF2-40B4-BE49-F238E27FC236}">
                      <a16:creationId xmlns:a16="http://schemas.microsoft.com/office/drawing/2014/main" id="{3B176DF7-2511-FA69-115B-9E762722E640}"/>
                    </a:ext>
                  </a:extLst>
                </wp:docPr>
                <wp:cNvGraphicFramePr/>
                <a:graphic xmlns:a="http://schemas.openxmlformats.org/drawingml/2006/main">
                  <a:graphicData uri="http://schemas.microsoft.com/office/word/2010/wordprocessingShape">
                    <wps:wsp>
                      <wps:cNvSpPr/>
                      <wps:spPr>
                        <a:xfrm>
                          <a:off x="0" y="0"/>
                          <a:ext cx="2202815" cy="239395"/>
                        </a:xfrm>
                        <a:prstGeom prst="rect">
                          <a:avLst/>
                        </a:prstGeom>
                      </wps:spPr>
                      <wps:txbx>
                        <w:txbxContent>
                          <w:p w14:paraId="13CC9CDD" w14:textId="77777777" w:rsidR="00D4323D" w:rsidRPr="00CD5E54" w:rsidRDefault="00D4323D" w:rsidP="0060065A">
                            <w:pPr>
                              <w:pStyle w:val="af6"/>
                              <w:jc w:val="center"/>
                              <w:rPr>
                                <w:lang w:val="en-US"/>
                              </w:rPr>
                            </w:pPr>
                            <w:r w:rsidRPr="00CD5E54">
                              <w:rPr>
                                <w:rFonts w:eastAsia="Times New Roman"/>
                                <w:b/>
                                <w:bCs/>
                                <w:color w:val="000000"/>
                                <w:kern w:val="24"/>
                                <w:sz w:val="20"/>
                                <w:szCs w:val="20"/>
                                <w:lang w:val="en-US"/>
                              </w:rPr>
                              <w:t>Share of GVA of MSMEs in GDP</w:t>
                            </w:r>
                          </w:p>
                        </w:txbxContent>
                      </wps:txbx>
                      <wps:bodyPr wrap="squar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F3343E" id="Прямоугольник 1" o:spid="_x0000_s1030" style="position:absolute;left:0;text-align:left;margin-left:231.95pt;margin-top:8.2pt;width:173.45pt;height:18.85pt;z-index:251711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" filled="f" stroked="f">
                <v:textbox style="mso-fit-shape-to-text:t">
                  <w:txbxContent>
                    <w:p w14:paraId="13CC9CDD" w14:textId="77777777" w:rsidR="00D4323D" w:rsidRPr="00CD5E54" w:rsidRDefault="00D4323D" w:rsidP="0060065A">
                      <w:pPr>
                        <w:pStyle w:val="af6"/>
                        <w:jc w:val="center"/>
                        <w:rPr>
                          <w:lang w:val="en-US"/>
                        </w:rPr>
                      </w:pPr>
                      <w:r w:rsidRPr="00CD5E54">
                        <w:rPr>
                          <w:rFonts w:eastAsia="Times New Roman"/>
                          <w:b/>
                          <w:bCs/>
                          <w:color w:val="000000"/>
                          <w:kern w:val="24"/>
                          <w:sz w:val="20"/>
                          <w:szCs w:val="20"/>
                          <w:lang w:val="en-US"/>
                        </w:rPr>
                        <w:t>Share of GVA of MSMEs in GDP</w:t>
                      </w:r>
                    </w:p>
                  </w:txbxContent>
                </v:textbox>
                <w10:wrap anchorx="page"/>
              </v:rect>
            </w:pict>
          </mc:Fallback>
        </mc:AlternateContent>
      </w:r>
    </w:p>
    <w:p w14:paraId="481666B6" w14:textId="77777777" w:rsidR="0060065A" w:rsidRPr="001F748C" w:rsidRDefault="0060065A" w:rsidP="0060065A">
      <w:pPr>
        <w:pStyle w:val="af1"/>
        <w:spacing w:after="0" w:line="240" w:lineRule="auto"/>
        <w:ind w:left="426"/>
        <w:jc w:val="both"/>
        <w:rPr>
          <w:rFonts w:ascii="Times New Roman" w:hAnsi="Times New Roman"/>
          <w:sz w:val="24"/>
          <w:szCs w:val="24"/>
        </w:rPr>
      </w:pPr>
    </w:p>
    <w:p w14:paraId="1E6F3C32" w14:textId="77777777" w:rsidR="00A469D0" w:rsidRPr="00D0306A" w:rsidRDefault="00A469D0" w:rsidP="00A469D0">
      <w:pPr>
        <w:pStyle w:val="af1"/>
        <w:spacing w:after="0" w:line="240" w:lineRule="auto"/>
        <w:ind w:left="0"/>
        <w:jc w:val="both"/>
        <w:rPr>
          <w:rFonts w:ascii="Times New Roman" w:hAnsi="Times New Roman"/>
          <w:sz w:val="24"/>
          <w:szCs w:val="24"/>
          <w:lang w:val="ru-RU"/>
        </w:rPr>
      </w:pPr>
      <w:r>
        <w:rPr>
          <w:noProof/>
          <w:lang w:val="ru-RU" w:eastAsia="ru-RU"/>
        </w:rPr>
        <w:drawing>
          <wp:inline distT="0" distB="0" distL="0" distR="0" wp14:anchorId="15392C05" wp14:editId="4D5A6B95">
            <wp:extent cx="5956300" cy="2565400"/>
            <wp:effectExtent l="0" t="0" r="6350" b="6350"/>
            <wp:docPr id="818528442" name="Диаграмма 1">
              <a:extLst xmlns:a="http://schemas.openxmlformats.org/drawingml/2006/main">
                <a:ext uri="{FF2B5EF4-FFF2-40B4-BE49-F238E27FC236}">
                  <a16:creationId xmlns:a16="http://schemas.microsoft.com/office/drawing/2014/main" id="{A754DEA8-BEA1-E066-0B9D-D7A34C268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65091B" w14:textId="77777777" w:rsidR="00A469D0" w:rsidRPr="000F33EB" w:rsidRDefault="00A469D0" w:rsidP="00A469D0">
      <w:pPr>
        <w:pStyle w:val="af1"/>
        <w:spacing w:after="0" w:line="240" w:lineRule="auto"/>
        <w:ind w:left="426"/>
        <w:jc w:val="both"/>
        <w:rPr>
          <w:rFonts w:ascii="Times New Roman" w:hAnsi="Times New Roman"/>
          <w:i/>
          <w:iCs/>
          <w:sz w:val="16"/>
          <w:szCs w:val="16"/>
          <w:lang w:val="en-US"/>
        </w:rPr>
      </w:pPr>
      <w:r w:rsidRPr="001F748C">
        <w:rPr>
          <w:rFonts w:ascii="Times New Roman" w:hAnsi="Times New Roman"/>
          <w:i/>
          <w:iCs/>
          <w:sz w:val="16"/>
          <w:szCs w:val="16"/>
        </w:rPr>
        <w:t>Source: Bureau of Statistics (</w:t>
      </w:r>
      <w:hyperlink r:id="rId20" w:history="1">
        <w:r w:rsidRPr="001F748C">
          <w:rPr>
            <w:rStyle w:val="a5"/>
            <w:rFonts w:ascii="Times New Roman" w:hAnsi="Times New Roman"/>
            <w:i/>
            <w:iCs/>
            <w:color w:val="auto"/>
            <w:sz w:val="16"/>
            <w:szCs w:val="16"/>
          </w:rPr>
          <w:t>www.stat.gov.kz</w:t>
        </w:r>
      </w:hyperlink>
      <w:r w:rsidRPr="001F748C">
        <w:rPr>
          <w:rFonts w:ascii="Times New Roman" w:hAnsi="Times New Roman"/>
          <w:i/>
          <w:iCs/>
          <w:sz w:val="16"/>
          <w:szCs w:val="16"/>
        </w:rPr>
        <w:t>)</w:t>
      </w:r>
    </w:p>
    <w:p w14:paraId="3B1B1A77" w14:textId="77777777" w:rsidR="006733C4" w:rsidRPr="006626B5" w:rsidRDefault="00AA6260"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Despite the increase in the number of registered enterprises, the share of GVA of medium-sized enterprises in GDP remains within 7.0%. This share of gross value added (GVA) of MSMEs in the country's gross domestic product (GDP) has also increased by 14.8 percentage points since 2015, reaching 39.7%. It is important to note that the most significant growth in physical production (as a share of GDP) for 2024 was recorded in the sectors of agriculture (13.3%), construction (13.1%), trade (8.8%), and transport and warehousing (8.5%).</w:t>
      </w:r>
    </w:p>
    <w:p w14:paraId="01C7DC4B" w14:textId="77777777" w:rsidR="006626B5" w:rsidRDefault="006626B5" w:rsidP="006626B5">
      <w:pPr>
        <w:tabs>
          <w:tab w:val="left" w:pos="851"/>
        </w:tabs>
        <w:jc w:val="both"/>
        <w:rPr>
          <w:lang w:val="en-US"/>
        </w:rPr>
      </w:pPr>
    </w:p>
    <w:p w14:paraId="065C6C6A" w14:textId="77777777" w:rsidR="006626B5" w:rsidRDefault="006626B5" w:rsidP="006626B5">
      <w:pPr>
        <w:tabs>
          <w:tab w:val="left" w:pos="851"/>
        </w:tabs>
        <w:jc w:val="both"/>
        <w:rPr>
          <w:lang w:val="en-US"/>
        </w:rPr>
      </w:pPr>
    </w:p>
    <w:p w14:paraId="035E1270" w14:textId="77777777" w:rsidR="006626B5" w:rsidRDefault="006626B5" w:rsidP="006626B5">
      <w:pPr>
        <w:tabs>
          <w:tab w:val="left" w:pos="851"/>
        </w:tabs>
        <w:jc w:val="both"/>
        <w:rPr>
          <w:lang w:val="en-US"/>
        </w:rPr>
      </w:pPr>
    </w:p>
    <w:p w14:paraId="59A3CE85" w14:textId="77777777" w:rsidR="006626B5" w:rsidRDefault="006626B5" w:rsidP="006626B5">
      <w:pPr>
        <w:tabs>
          <w:tab w:val="left" w:pos="851"/>
        </w:tabs>
        <w:jc w:val="both"/>
        <w:rPr>
          <w:lang w:val="en-US"/>
        </w:rPr>
      </w:pPr>
    </w:p>
    <w:p w14:paraId="5AC223A3" w14:textId="77777777" w:rsidR="006626B5" w:rsidRDefault="006626B5" w:rsidP="006626B5">
      <w:pPr>
        <w:tabs>
          <w:tab w:val="left" w:pos="851"/>
        </w:tabs>
        <w:jc w:val="both"/>
        <w:rPr>
          <w:lang w:val="en-US"/>
        </w:rPr>
      </w:pPr>
    </w:p>
    <w:p w14:paraId="3356F189" w14:textId="77777777" w:rsidR="006626B5" w:rsidRDefault="006626B5" w:rsidP="006626B5">
      <w:pPr>
        <w:tabs>
          <w:tab w:val="left" w:pos="851"/>
        </w:tabs>
        <w:jc w:val="both"/>
        <w:rPr>
          <w:lang w:val="en-US"/>
        </w:rPr>
      </w:pPr>
    </w:p>
    <w:p w14:paraId="36BE40A8" w14:textId="77777777" w:rsidR="006626B5" w:rsidRDefault="006626B5" w:rsidP="006626B5">
      <w:pPr>
        <w:tabs>
          <w:tab w:val="left" w:pos="851"/>
        </w:tabs>
        <w:jc w:val="both"/>
        <w:rPr>
          <w:lang w:val="en-US"/>
        </w:rPr>
      </w:pPr>
    </w:p>
    <w:p w14:paraId="4E90DE87" w14:textId="77777777" w:rsidR="006626B5" w:rsidRPr="006626B5" w:rsidRDefault="006626B5" w:rsidP="006626B5">
      <w:pPr>
        <w:tabs>
          <w:tab w:val="left" w:pos="851"/>
        </w:tabs>
        <w:jc w:val="both"/>
        <w:rPr>
          <w:lang w:val="en-US"/>
        </w:rPr>
      </w:pPr>
    </w:p>
    <w:p w14:paraId="19D30FEA" w14:textId="77777777" w:rsidR="00F60D68" w:rsidRPr="000F33EB" w:rsidRDefault="00F60D68" w:rsidP="001F2BB1">
      <w:pPr>
        <w:pStyle w:val="af1"/>
        <w:spacing w:after="0" w:line="240" w:lineRule="auto"/>
        <w:ind w:left="0"/>
        <w:jc w:val="both"/>
        <w:rPr>
          <w:rFonts w:ascii="Times New Roman" w:hAnsi="Times New Roman"/>
          <w:sz w:val="24"/>
          <w:szCs w:val="24"/>
          <w:lang w:val="en-US"/>
        </w:rPr>
      </w:pPr>
      <w:r w:rsidRPr="001F748C">
        <w:rPr>
          <w:noProof/>
          <w:lang w:val="ru-RU" w:eastAsia="ru-RU"/>
        </w:rPr>
        <w:lastRenderedPageBreak/>
        <mc:AlternateContent>
          <mc:Choice Requires="wps">
            <w:drawing>
              <wp:anchor distT="0" distB="0" distL="114300" distR="114300" simplePos="0" relativeHeight="251669504" behindDoc="0" locked="0" layoutInCell="1" allowOverlap="1" wp14:anchorId="20DE1852" wp14:editId="5EEF42CB">
                <wp:simplePos x="0" y="0"/>
                <wp:positionH relativeFrom="margin">
                  <wp:posOffset>1171977</wp:posOffset>
                </wp:positionH>
                <wp:positionV relativeFrom="paragraph">
                  <wp:posOffset>-89906</wp:posOffset>
                </wp:positionV>
                <wp:extent cx="3598519" cy="448241"/>
                <wp:effectExtent l="0" t="0" r="0" b="0"/>
                <wp:wrapNone/>
                <wp:docPr id="13646240" name="Прямоугольник 28"/>
                <wp:cNvGraphicFramePr/>
                <a:graphic xmlns:a="http://schemas.openxmlformats.org/drawingml/2006/main">
                  <a:graphicData uri="http://schemas.microsoft.com/office/word/2010/wordprocessingShape">
                    <wps:wsp>
                      <wps:cNvSpPr/>
                      <wps:spPr>
                        <a:xfrm>
                          <a:off x="0" y="0"/>
                          <a:ext cx="3598519" cy="448241"/>
                        </a:xfrm>
                        <a:prstGeom prst="rect">
                          <a:avLst/>
                        </a:prstGeom>
                      </wps:spPr>
                      <wps:txbx>
                        <w:txbxContent>
                          <w:p w14:paraId="49481540" w14:textId="4432D68B" w:rsidR="00D4323D" w:rsidRPr="00CD5E54" w:rsidRDefault="00D4323D" w:rsidP="00F60D68">
                            <w:pPr>
                              <w:rPr>
                                <w:b/>
                                <w:bCs/>
                                <w:color w:val="000000" w:themeColor="text1"/>
                                <w:kern w:val="24"/>
                                <w:sz w:val="20"/>
                                <w:szCs w:val="20"/>
                                <w:lang w:val="en-US"/>
                              </w:rPr>
                            </w:pPr>
                            <w:r w:rsidRPr="00CD5E54">
                              <w:rPr>
                                <w:b/>
                                <w:bCs/>
                                <w:color w:val="000000" w:themeColor="text1"/>
                                <w:kern w:val="24"/>
                                <w:sz w:val="20"/>
                                <w:szCs w:val="20"/>
                                <w:lang w:val="en-US"/>
                              </w:rPr>
                              <w:t xml:space="preserve">The share of GVA of medium-sized </w:t>
                            </w:r>
                            <w:r w:rsidR="006626B5">
                              <w:rPr>
                                <w:b/>
                                <w:bCs/>
                                <w:color w:val="000000" w:themeColor="text1"/>
                                <w:kern w:val="24"/>
                                <w:sz w:val="20"/>
                                <w:szCs w:val="20"/>
                                <w:lang w:val="en-US"/>
                              </w:rPr>
                              <w:t>enterprises</w:t>
                            </w:r>
                            <w:r w:rsidRPr="00CD5E54">
                              <w:rPr>
                                <w:b/>
                                <w:bCs/>
                                <w:color w:val="000000" w:themeColor="text1"/>
                                <w:kern w:val="24"/>
                                <w:sz w:val="20"/>
                                <w:szCs w:val="20"/>
                                <w:lang w:val="en-US"/>
                              </w:rPr>
                              <w:t xml:space="preserve"> in GDP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E1852" id="Прямоугольник 28" o:spid="_x0000_s1031" style="position:absolute;left:0;text-align:left;margin-left:92.3pt;margin-top:-7.1pt;width:283.35pt;height:35.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" filled="f" stroked="f">
                <v:textbox>
                  <w:txbxContent>
                    <w:p w14:paraId="49481540" w14:textId="4432D68B" w:rsidR="00D4323D" w:rsidRPr="00CD5E54" w:rsidRDefault="00D4323D" w:rsidP="00F60D68">
                      <w:pPr>
                        <w:rPr>
                          <w:b/>
                          <w:bCs/>
                          <w:color w:val="000000" w:themeColor="text1"/>
                          <w:kern w:val="24"/>
                          <w:sz w:val="20"/>
                          <w:szCs w:val="20"/>
                          <w:lang w:val="en-US"/>
                        </w:rPr>
                      </w:pPr>
                      <w:r w:rsidRPr="00CD5E54">
                        <w:rPr>
                          <w:b/>
                          <w:bCs/>
                          <w:color w:val="000000" w:themeColor="text1"/>
                          <w:kern w:val="24"/>
                          <w:sz w:val="20"/>
                          <w:szCs w:val="20"/>
                          <w:lang w:val="en-US"/>
                        </w:rPr>
                        <w:t xml:space="preserve">The share of GVA of medium-sized </w:t>
                      </w:r>
                      <w:r w:rsidR="006626B5">
                        <w:rPr>
                          <w:b/>
                          <w:bCs/>
                          <w:color w:val="000000" w:themeColor="text1"/>
                          <w:kern w:val="24"/>
                          <w:sz w:val="20"/>
                          <w:szCs w:val="20"/>
                          <w:lang w:val="en-US"/>
                        </w:rPr>
                        <w:t>enterprises</w:t>
                      </w:r>
                      <w:r w:rsidRPr="00CD5E54">
                        <w:rPr>
                          <w:b/>
                          <w:bCs/>
                          <w:color w:val="000000" w:themeColor="text1"/>
                          <w:kern w:val="24"/>
                          <w:sz w:val="20"/>
                          <w:szCs w:val="20"/>
                          <w:lang w:val="en-US"/>
                        </w:rPr>
                        <w:t xml:space="preserve"> in GDP</w:t>
                      </w:r>
                    </w:p>
                  </w:txbxContent>
                </v:textbox>
                <w10:wrap anchorx="margin"/>
              </v:rect>
            </w:pict>
          </mc:Fallback>
        </mc:AlternateContent>
      </w:r>
    </w:p>
    <w:p w14:paraId="51163ED3" w14:textId="77777777" w:rsidR="001F2BB1" w:rsidRPr="000F33EB" w:rsidRDefault="001F2BB1" w:rsidP="001F2BB1">
      <w:pPr>
        <w:pStyle w:val="af1"/>
        <w:spacing w:after="0" w:line="240" w:lineRule="auto"/>
        <w:ind w:left="0"/>
        <w:jc w:val="both"/>
        <w:rPr>
          <w:rFonts w:ascii="Times New Roman" w:hAnsi="Times New Roman"/>
          <w:sz w:val="24"/>
          <w:szCs w:val="24"/>
          <w:lang w:val="en-US"/>
        </w:rPr>
      </w:pPr>
    </w:p>
    <w:p w14:paraId="5D75150B" w14:textId="77777777" w:rsidR="00AA6260" w:rsidRDefault="00AA6260" w:rsidP="00AA6260">
      <w:pPr>
        <w:pStyle w:val="af1"/>
        <w:tabs>
          <w:tab w:val="left" w:pos="851"/>
        </w:tabs>
        <w:spacing w:after="0" w:line="240" w:lineRule="auto"/>
        <w:ind w:left="0"/>
        <w:jc w:val="both"/>
        <w:rPr>
          <w:rFonts w:ascii="Times New Roman" w:hAnsi="Times New Roman"/>
          <w:sz w:val="24"/>
          <w:szCs w:val="24"/>
          <w:lang w:val="ru-RU"/>
        </w:rPr>
      </w:pPr>
      <w:r>
        <w:rPr>
          <w:noProof/>
          <w:lang w:val="ru-RU" w:eastAsia="ru-RU"/>
        </w:rPr>
        <w:drawing>
          <wp:inline distT="0" distB="0" distL="0" distR="0" wp14:anchorId="5B74EDF6" wp14:editId="2FD9E81C">
            <wp:extent cx="6210300" cy="2393950"/>
            <wp:effectExtent l="0" t="0" r="0" b="6350"/>
            <wp:docPr id="654573076" name="Диаграмма 1">
              <a:extLst xmlns:a="http://schemas.openxmlformats.org/drawingml/2006/main">
                <a:ext uri="{FF2B5EF4-FFF2-40B4-BE49-F238E27FC236}">
                  <a16:creationId xmlns:a16="http://schemas.microsoft.com/office/drawing/2014/main" id="{5AE020A3-6F87-D165-65A6-7701826C4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B53284" w14:textId="77777777" w:rsidR="00AA6260" w:rsidRPr="000F33EB" w:rsidRDefault="00AA6260" w:rsidP="00AA6260">
      <w:pPr>
        <w:tabs>
          <w:tab w:val="left" w:pos="284"/>
        </w:tabs>
        <w:jc w:val="both"/>
        <w:rPr>
          <w:color w:val="auto"/>
          <w:lang w:val="en-US"/>
        </w:rPr>
      </w:pPr>
      <w:r w:rsidRPr="000F33EB">
        <w:rPr>
          <w:rFonts w:eastAsia="Calibri"/>
          <w:i/>
          <w:iCs/>
          <w:color w:val="auto"/>
          <w:sz w:val="16"/>
          <w:szCs w:val="16"/>
          <w:lang w:val="en-US" w:eastAsia="en-US"/>
        </w:rPr>
        <w:t>Source: Bureau of Statistics (</w:t>
      </w:r>
      <w:hyperlink r:id="rId22" w:history="1">
        <w:r w:rsidRPr="000F33EB">
          <w:rPr>
            <w:rStyle w:val="a5"/>
            <w:i/>
            <w:iCs/>
            <w:color w:val="auto"/>
            <w:sz w:val="16"/>
            <w:szCs w:val="16"/>
            <w:lang w:val="en-US" w:eastAsia="en-US"/>
          </w:rPr>
          <w:t>www.stat.gov.kz</w:t>
        </w:r>
      </w:hyperlink>
      <w:r w:rsidRPr="000F33EB">
        <w:rPr>
          <w:rFonts w:eastAsia="Calibri"/>
          <w:i/>
          <w:iCs/>
          <w:color w:val="auto"/>
          <w:sz w:val="16"/>
          <w:szCs w:val="16"/>
          <w:lang w:val="en-US" w:eastAsia="en-US"/>
        </w:rPr>
        <w:t>)</w:t>
      </w:r>
    </w:p>
    <w:p w14:paraId="155FE4E5" w14:textId="77777777" w:rsidR="00AA6260" w:rsidRPr="000F33EB" w:rsidRDefault="00AA6260" w:rsidP="00AA6260">
      <w:pPr>
        <w:pStyle w:val="af1"/>
        <w:tabs>
          <w:tab w:val="left" w:pos="851"/>
        </w:tabs>
        <w:spacing w:after="0" w:line="240" w:lineRule="auto"/>
        <w:ind w:left="0"/>
        <w:jc w:val="both"/>
        <w:rPr>
          <w:rFonts w:ascii="Times New Roman" w:hAnsi="Times New Roman"/>
          <w:sz w:val="24"/>
          <w:szCs w:val="24"/>
          <w:lang w:val="en-US"/>
        </w:rPr>
      </w:pPr>
    </w:p>
    <w:p w14:paraId="1ADCF119" w14:textId="77777777" w:rsidR="00F60D68" w:rsidRDefault="00ED0636"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F44C4B">
        <w:rPr>
          <w:rFonts w:ascii="Times New Roman" w:hAnsi="Times New Roman"/>
          <w:bCs/>
          <w:sz w:val="24"/>
          <w:szCs w:val="24"/>
        </w:rPr>
        <w:t>An important factor influencing the effectiveness of the distribution of the Fund's support is the funds returned by enterprises in the form of tax payments.</w:t>
      </w:r>
      <w:r w:rsidRPr="00F44C4B">
        <w:rPr>
          <w:rFonts w:ascii="Times New Roman" w:hAnsi="Times New Roman"/>
          <w:sz w:val="24"/>
          <w:szCs w:val="24"/>
        </w:rPr>
        <w:t>Over the first four quarters of 2024, corporate tax revenues from small businesses amounted to 1,686 billion tenge, accounting for 32.9% of total corporate tax revenues. In 2024, corporate tax revenues from small businesses decreased by 13% compared to 2023.</w:t>
      </w:r>
    </w:p>
    <w:p w14:paraId="2919FFA2" w14:textId="65B03EF2" w:rsidR="00ED0636" w:rsidRPr="000F33EB" w:rsidRDefault="00ED0636" w:rsidP="00381383">
      <w:pPr>
        <w:pStyle w:val="af6"/>
        <w:ind w:firstLine="567"/>
        <w:jc w:val="both"/>
        <w:rPr>
          <w:rFonts w:cstheme="minorBidi"/>
          <w:bCs/>
          <w:lang w:val="en-US" w:eastAsia="en-US"/>
        </w:rPr>
      </w:pPr>
      <w:r w:rsidRPr="000F33EB">
        <w:rPr>
          <w:rFonts w:cstheme="minorBidi"/>
          <w:bCs/>
          <w:lang w:val="en-US" w:eastAsia="en-US"/>
        </w:rPr>
        <w:t xml:space="preserve">The decline in tax revenues is explained by a combination of factors: declining revenue, rising operating costs, and a reduction in the share of active small </w:t>
      </w:r>
      <w:r w:rsidR="006626B5">
        <w:rPr>
          <w:rFonts w:cstheme="minorBidi"/>
          <w:bCs/>
          <w:lang w:val="en-US" w:eastAsia="en-US"/>
        </w:rPr>
        <w:t xml:space="preserve">enterprises </w:t>
      </w:r>
      <w:r w:rsidRPr="000F33EB">
        <w:rPr>
          <w:rFonts w:cstheme="minorBidi"/>
          <w:bCs/>
          <w:lang w:val="en-US" w:eastAsia="en-US"/>
        </w:rPr>
        <w:t>—</w:t>
      </w:r>
      <w:r w:rsidR="006626B5">
        <w:rPr>
          <w:rFonts w:cstheme="minorBidi"/>
          <w:bCs/>
          <w:lang w:val="en-US" w:eastAsia="en-US"/>
        </w:rPr>
        <w:t xml:space="preserve"> </w:t>
      </w:r>
      <w:r w:rsidRPr="000F33EB">
        <w:rPr>
          <w:rFonts w:cstheme="minorBidi"/>
          <w:bCs/>
          <w:lang w:val="en-US" w:eastAsia="en-US"/>
        </w:rPr>
        <w:t>some of which have temporarily suspended operations or moved into the shadow economy.</w:t>
      </w:r>
    </w:p>
    <w:p w14:paraId="6570C27D" w14:textId="356BC579" w:rsidR="00ED0636" w:rsidRPr="000F33EB" w:rsidRDefault="00ED0636" w:rsidP="00ED0636">
      <w:pPr>
        <w:tabs>
          <w:tab w:val="left" w:pos="851"/>
        </w:tabs>
        <w:ind w:firstLine="567"/>
        <w:jc w:val="both"/>
        <w:rPr>
          <w:lang w:val="en-US"/>
        </w:rPr>
      </w:pPr>
      <w:r w:rsidRPr="000F33EB">
        <w:rPr>
          <w:rFonts w:eastAsiaTheme="minorHAnsi" w:cstheme="minorBidi"/>
          <w:bCs/>
          <w:lang w:val="en-US"/>
        </w:rPr>
        <w:t>An additional impact was exerted by the redistribution of tax regimes:</w:t>
      </w:r>
      <w:r w:rsidR="006626B5">
        <w:rPr>
          <w:rFonts w:eastAsiaTheme="minorHAnsi" w:cstheme="minorBidi"/>
          <w:bCs/>
          <w:lang w:val="en-US"/>
        </w:rPr>
        <w:t xml:space="preserve"> </w:t>
      </w:r>
      <w:r w:rsidRPr="000F33EB">
        <w:rPr>
          <w:rFonts w:eastAsiaTheme="minorHAnsi" w:cstheme="minorBidi"/>
          <w:lang w:val="en-US"/>
        </w:rPr>
        <w:t>The reduction of thresholds for the application of special tax regimes and the active use of tax incentives, including simplified tax systems, have led to a reduction in the overall tax base.</w:t>
      </w:r>
    </w:p>
    <w:p w14:paraId="31E2310B" w14:textId="77777777" w:rsidR="00207F3F" w:rsidRPr="000F33EB" w:rsidRDefault="00207F3F" w:rsidP="00207F3F">
      <w:pPr>
        <w:pStyle w:val="af9"/>
        <w:spacing w:after="0" w:line="240" w:lineRule="auto"/>
        <w:ind w:firstLine="0"/>
        <w:rPr>
          <w:sz w:val="24"/>
          <w:szCs w:val="24"/>
          <w:lang w:val="en-US"/>
        </w:rPr>
      </w:pPr>
      <w:r w:rsidRPr="001F748C">
        <w:rPr>
          <w:noProof/>
        </w:rPr>
        <mc:AlternateContent>
          <mc:Choice Requires="wps">
            <w:drawing>
              <wp:anchor distT="0" distB="0" distL="114300" distR="114300" simplePos="0" relativeHeight="251673600" behindDoc="0" locked="0" layoutInCell="1" allowOverlap="1" wp14:anchorId="55AA49AB" wp14:editId="00D91A9D">
                <wp:simplePos x="0" y="0"/>
                <wp:positionH relativeFrom="margin">
                  <wp:align>center</wp:align>
                </wp:positionH>
                <wp:positionV relativeFrom="paragraph">
                  <wp:posOffset>12617</wp:posOffset>
                </wp:positionV>
                <wp:extent cx="4907280" cy="522605"/>
                <wp:effectExtent l="0" t="0" r="0" b="0"/>
                <wp:wrapNone/>
                <wp:docPr id="145116445" name="Прямоугольник 28"/>
                <wp:cNvGraphicFramePr/>
                <a:graphic xmlns:a="http://schemas.openxmlformats.org/drawingml/2006/main">
                  <a:graphicData uri="http://schemas.microsoft.com/office/word/2010/wordprocessingShape">
                    <wps:wsp>
                      <wps:cNvSpPr/>
                      <wps:spPr>
                        <a:xfrm>
                          <a:off x="0" y="0"/>
                          <a:ext cx="4907280" cy="522605"/>
                        </a:xfrm>
                        <a:prstGeom prst="rect">
                          <a:avLst/>
                        </a:prstGeom>
                      </wps:spPr>
                      <wps:txbx>
                        <w:txbxContent>
                          <w:p w14:paraId="323C57DB" w14:textId="77777777" w:rsidR="00D4323D" w:rsidRPr="00CD5E54" w:rsidRDefault="00D4323D" w:rsidP="00207F3F">
                            <w:pPr>
                              <w:jc w:val="center"/>
                              <w:rPr>
                                <w:b/>
                                <w:bCs/>
                                <w:color w:val="auto"/>
                                <w:kern w:val="24"/>
                                <w:sz w:val="20"/>
                                <w:szCs w:val="20"/>
                                <w:lang w:val="en-US"/>
                              </w:rPr>
                            </w:pPr>
                            <w:r w:rsidRPr="00CD5E54">
                              <w:rPr>
                                <w:b/>
                                <w:bCs/>
                                <w:color w:val="auto"/>
                                <w:kern w:val="24"/>
                                <w:sz w:val="20"/>
                                <w:szCs w:val="20"/>
                                <w:lang w:val="en-US"/>
                              </w:rPr>
                              <w:t>The share of corporate tax of small enterprises in the total amount of corporate tax receipts</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AA49AB" id="_x0000_s1032" style="position:absolute;left:0;text-align:left;margin-left:0;margin-top:1pt;width:386.4pt;height:41.15pt;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" filled="f" stroked="f">
                <v:textbox style="mso-fit-shape-to-text:t">
                  <w:txbxContent>
                    <w:p w14:paraId="323C57DB" w14:textId="77777777" w:rsidR="00D4323D" w:rsidRPr="00CD5E54" w:rsidRDefault="00D4323D" w:rsidP="00207F3F">
                      <w:pPr>
                        <w:jc w:val="center"/>
                        <w:rPr>
                          <w:b/>
                          <w:bCs/>
                          <w:color w:val="auto"/>
                          <w:kern w:val="24"/>
                          <w:sz w:val="20"/>
                          <w:szCs w:val="20"/>
                          <w:lang w:val="en-US"/>
                        </w:rPr>
                      </w:pPr>
                      <w:r w:rsidRPr="00CD5E54">
                        <w:rPr>
                          <w:b/>
                          <w:bCs/>
                          <w:color w:val="auto"/>
                          <w:kern w:val="24"/>
                          <w:sz w:val="20"/>
                          <w:szCs w:val="20"/>
                          <w:lang w:val="en-US"/>
                        </w:rPr>
                        <w:t>The share of corporate tax of small enterprises in the total amount of corporate tax receipts</w:t>
                      </w:r>
                    </w:p>
                  </w:txbxContent>
                </v:textbox>
                <w10:wrap anchorx="margin"/>
              </v:rect>
            </w:pict>
          </mc:Fallback>
        </mc:AlternateContent>
      </w:r>
    </w:p>
    <w:p w14:paraId="4D804198" w14:textId="77777777" w:rsidR="00ED0636" w:rsidRPr="00FF371B" w:rsidRDefault="00ED0636" w:rsidP="00ED0636">
      <w:pPr>
        <w:tabs>
          <w:tab w:val="left" w:pos="851"/>
        </w:tabs>
        <w:jc w:val="both"/>
      </w:pPr>
      <w:r>
        <w:rPr>
          <w:noProof/>
        </w:rPr>
        <w:drawing>
          <wp:inline distT="0" distB="0" distL="0" distR="0" wp14:anchorId="23DEA552" wp14:editId="2F78FBAE">
            <wp:extent cx="6175375" cy="2433711"/>
            <wp:effectExtent l="0" t="0" r="15875" b="5080"/>
            <wp:docPr id="170541897" name="Диаграмма 1">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6152D0" w14:textId="77777777" w:rsidR="00ED0636" w:rsidRPr="000F33EB" w:rsidRDefault="00ED0636" w:rsidP="00ED0636">
      <w:pPr>
        <w:tabs>
          <w:tab w:val="left" w:pos="284"/>
        </w:tabs>
        <w:jc w:val="both"/>
        <w:rPr>
          <w:color w:val="auto"/>
          <w:lang w:val="en-US"/>
        </w:rPr>
      </w:pPr>
      <w:r w:rsidRPr="000F33EB">
        <w:rPr>
          <w:rFonts w:eastAsia="Calibri"/>
          <w:i/>
          <w:iCs/>
          <w:color w:val="auto"/>
          <w:sz w:val="16"/>
          <w:szCs w:val="16"/>
          <w:lang w:val="en-US" w:eastAsia="en-US"/>
        </w:rPr>
        <w:t>Source: Bureau of Statistics (</w:t>
      </w:r>
      <w:hyperlink r:id="rId24" w:history="1">
        <w:r w:rsidRPr="000F33EB">
          <w:rPr>
            <w:rStyle w:val="a5"/>
            <w:i/>
            <w:iCs/>
            <w:color w:val="auto"/>
            <w:sz w:val="16"/>
            <w:szCs w:val="16"/>
            <w:lang w:val="en-US" w:eastAsia="en-US"/>
          </w:rPr>
          <w:t>www.stat.gov.kz</w:t>
        </w:r>
      </w:hyperlink>
      <w:r w:rsidRPr="000F33EB">
        <w:rPr>
          <w:rFonts w:eastAsia="Calibri"/>
          <w:i/>
          <w:iCs/>
          <w:color w:val="auto"/>
          <w:sz w:val="16"/>
          <w:szCs w:val="16"/>
          <w:lang w:val="en-US" w:eastAsia="en-US"/>
        </w:rPr>
        <w:t>)</w:t>
      </w:r>
    </w:p>
    <w:p w14:paraId="4CB2D34C" w14:textId="77777777" w:rsidR="00F60D68" w:rsidRPr="000F33EB" w:rsidRDefault="00F60D68" w:rsidP="00ED0636">
      <w:pPr>
        <w:pStyle w:val="af1"/>
        <w:spacing w:after="0" w:line="240" w:lineRule="auto"/>
        <w:ind w:left="0"/>
        <w:jc w:val="both"/>
        <w:rPr>
          <w:rFonts w:ascii="Times New Roman" w:hAnsi="Times New Roman"/>
          <w:sz w:val="24"/>
          <w:szCs w:val="24"/>
          <w:lang w:val="en-US"/>
        </w:rPr>
      </w:pPr>
    </w:p>
    <w:p w14:paraId="0360ED5E" w14:textId="77777777" w:rsidR="00207F3F" w:rsidRPr="000F33EB" w:rsidRDefault="00D72045" w:rsidP="0064244C">
      <w:pPr>
        <w:tabs>
          <w:tab w:val="left" w:pos="851"/>
        </w:tabs>
        <w:ind w:firstLine="567"/>
        <w:rPr>
          <w:bCs/>
          <w:i/>
          <w:color w:val="auto"/>
          <w:lang w:val="en-US"/>
        </w:rPr>
      </w:pPr>
      <w:r w:rsidRPr="000F33EB">
        <w:rPr>
          <w:bCs/>
          <w:i/>
          <w:color w:val="auto"/>
          <w:lang w:val="en-US"/>
        </w:rPr>
        <w:t>Domestic Market Analysis: Second-tier Bank Lending</w:t>
      </w:r>
    </w:p>
    <w:p w14:paraId="387EF20F" w14:textId="77777777" w:rsidR="00F60D68" w:rsidRPr="001F748C" w:rsidRDefault="00ED0636"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The MSME loan portfolio is an indicator of banks' activity and involvement in financing enterprises in this sector. While the MSME loan portfolio has increased to 8.7 trillion tenge, its share in the total second-tier bank loan portfolio has remained below 27% over the past three years and has since decreased to 23.4%. Meanwhile, the individual loan portfolio has increased annually and, as of May 1, 2025, amounted to 21.7 trillion tenge. This growth is due to the active digitalization of products </w:t>
      </w:r>
      <w:r w:rsidRPr="001F748C">
        <w:rPr>
          <w:rFonts w:ascii="Times New Roman" w:hAnsi="Times New Roman"/>
          <w:sz w:val="24"/>
          <w:szCs w:val="24"/>
        </w:rPr>
        <w:lastRenderedPageBreak/>
        <w:t>for individuals and simplified loan applications (via kaspi.kz, Homebank, fortemarket.kz, QR codes, etc.).</w:t>
      </w:r>
    </w:p>
    <w:p w14:paraId="79190B27" w14:textId="77777777" w:rsidR="00ED0636" w:rsidRDefault="00ED0636" w:rsidP="0031388A">
      <w:pPr>
        <w:pStyle w:val="af1"/>
        <w:numPr>
          <w:ilvl w:val="0"/>
          <w:numId w:val="3"/>
        </w:numPr>
        <w:tabs>
          <w:tab w:val="left" w:pos="851"/>
          <w:tab w:val="left" w:pos="993"/>
        </w:tabs>
        <w:spacing w:after="0" w:line="240" w:lineRule="auto"/>
        <w:ind w:left="0" w:firstLine="567"/>
        <w:jc w:val="both"/>
        <w:rPr>
          <w:rFonts w:ascii="Times New Roman" w:hAnsi="Times New Roman"/>
          <w:sz w:val="24"/>
          <w:szCs w:val="24"/>
        </w:rPr>
      </w:pPr>
      <w:r w:rsidRPr="000F33EB">
        <w:rPr>
          <w:rFonts w:ascii="Times New Roman" w:hAnsi="Times New Roman"/>
          <w:sz w:val="24"/>
          <w:szCs w:val="24"/>
          <w:lang w:val="en-US"/>
        </w:rPr>
        <w:t>It is also worth noting the growth of the corporate loan portfolio by 19% since the beginning of the year, increasing to 6.4 trillion tenge as of 01.05.2025.</w:t>
      </w:r>
    </w:p>
    <w:p w14:paraId="50CDD1FA" w14:textId="77777777" w:rsidR="00ED0636" w:rsidRPr="000F33EB" w:rsidRDefault="00ED0636" w:rsidP="00ED0636">
      <w:pPr>
        <w:tabs>
          <w:tab w:val="left" w:pos="851"/>
          <w:tab w:val="left" w:pos="993"/>
        </w:tabs>
        <w:jc w:val="both"/>
        <w:rPr>
          <w:lang w:val="en-US"/>
        </w:rPr>
      </w:pPr>
      <w:r w:rsidRPr="001F748C">
        <w:rPr>
          <w:noProof/>
        </w:rPr>
        <mc:AlternateContent>
          <mc:Choice Requires="wps">
            <w:drawing>
              <wp:anchor distT="0" distB="0" distL="114300" distR="114300" simplePos="0" relativeHeight="251734016" behindDoc="0" locked="0" layoutInCell="1" allowOverlap="1" wp14:anchorId="4F5C0CBA" wp14:editId="19611AD8">
                <wp:simplePos x="0" y="0"/>
                <wp:positionH relativeFrom="page">
                  <wp:align>center</wp:align>
                </wp:positionH>
                <wp:positionV relativeFrom="paragraph">
                  <wp:posOffset>52070</wp:posOffset>
                </wp:positionV>
                <wp:extent cx="4907280" cy="522605"/>
                <wp:effectExtent l="0" t="0" r="0" b="0"/>
                <wp:wrapNone/>
                <wp:docPr id="941576838" name="Прямоугольник 28"/>
                <wp:cNvGraphicFramePr/>
                <a:graphic xmlns:a="http://schemas.openxmlformats.org/drawingml/2006/main">
                  <a:graphicData uri="http://schemas.microsoft.com/office/word/2010/wordprocessingShape">
                    <wps:wsp>
                      <wps:cNvSpPr/>
                      <wps:spPr>
                        <a:xfrm>
                          <a:off x="0" y="0"/>
                          <a:ext cx="4907280" cy="522605"/>
                        </a:xfrm>
                        <a:prstGeom prst="rect">
                          <a:avLst/>
                        </a:prstGeom>
                      </wps:spPr>
                      <wps:txbx>
                        <w:txbxContent>
                          <w:p w14:paraId="2990BEA4" w14:textId="73A602DC" w:rsidR="00D4323D" w:rsidRPr="00CD5E54" w:rsidRDefault="006626B5" w:rsidP="00ED0636">
                            <w:pPr>
                              <w:jc w:val="center"/>
                              <w:rPr>
                                <w:b/>
                                <w:bCs/>
                                <w:color w:val="auto"/>
                                <w:kern w:val="24"/>
                                <w:sz w:val="20"/>
                                <w:szCs w:val="20"/>
                                <w:lang w:val="en-US"/>
                              </w:rPr>
                            </w:pPr>
                            <w:r w:rsidRPr="006626B5">
                              <w:rPr>
                                <w:b/>
                                <w:bCs/>
                                <w:color w:val="auto"/>
                                <w:kern w:val="24"/>
                                <w:sz w:val="20"/>
                                <w:szCs w:val="20"/>
                                <w:lang w:val="en-US"/>
                              </w:rPr>
                              <w:t>Lending to the STB economy</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5C0CBA" id="_x0000_s1033" style="position:absolute;left:0;text-align:left;margin-left:0;margin-top:4.1pt;width:386.4pt;height:41.15pt;z-index:2517340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" filled="f" stroked="f">
                <v:textbox style="mso-fit-shape-to-text:t">
                  <w:txbxContent>
                    <w:p w14:paraId="2990BEA4" w14:textId="73A602DC" w:rsidR="00D4323D" w:rsidRPr="00CD5E54" w:rsidRDefault="006626B5" w:rsidP="00ED0636">
                      <w:pPr>
                        <w:jc w:val="center"/>
                        <w:rPr>
                          <w:b/>
                          <w:bCs/>
                          <w:color w:val="auto"/>
                          <w:kern w:val="24"/>
                          <w:sz w:val="20"/>
                          <w:szCs w:val="20"/>
                          <w:lang w:val="en-US"/>
                        </w:rPr>
                      </w:pPr>
                      <w:r w:rsidRPr="006626B5">
                        <w:rPr>
                          <w:b/>
                          <w:bCs/>
                          <w:color w:val="auto"/>
                          <w:kern w:val="24"/>
                          <w:sz w:val="20"/>
                          <w:szCs w:val="20"/>
                          <w:lang w:val="en-US"/>
                        </w:rPr>
                        <w:t>Lending to the STB economy</w:t>
                      </w:r>
                    </w:p>
                  </w:txbxContent>
                </v:textbox>
                <w10:wrap anchorx="page"/>
              </v:rect>
            </w:pict>
          </mc:Fallback>
        </mc:AlternateContent>
      </w:r>
    </w:p>
    <w:p w14:paraId="02FD3293" w14:textId="77777777" w:rsidR="00ED0636" w:rsidRPr="000F33EB" w:rsidRDefault="00ED0636" w:rsidP="00ED0636">
      <w:pPr>
        <w:pStyle w:val="af1"/>
        <w:tabs>
          <w:tab w:val="left" w:pos="851"/>
        </w:tabs>
        <w:spacing w:after="0" w:line="240" w:lineRule="auto"/>
        <w:ind w:left="0" w:firstLine="567"/>
        <w:jc w:val="both"/>
        <w:rPr>
          <w:rFonts w:ascii="Times New Roman" w:hAnsi="Times New Roman"/>
          <w:sz w:val="24"/>
          <w:szCs w:val="24"/>
          <w:lang w:val="en-US"/>
        </w:rPr>
      </w:pPr>
      <w:r w:rsidRPr="001F748C">
        <w:rPr>
          <w:noProof/>
          <w:lang w:val="ru-RU" w:eastAsia="ru-RU"/>
        </w:rPr>
        <mc:AlternateContent>
          <mc:Choice Requires="wps">
            <w:drawing>
              <wp:anchor distT="0" distB="0" distL="114300" distR="114300" simplePos="0" relativeHeight="251736064" behindDoc="0" locked="0" layoutInCell="1" allowOverlap="1" wp14:anchorId="3D4F957A" wp14:editId="31264E53">
                <wp:simplePos x="0" y="0"/>
                <wp:positionH relativeFrom="margin">
                  <wp:posOffset>2694305</wp:posOffset>
                </wp:positionH>
                <wp:positionV relativeFrom="paragraph">
                  <wp:posOffset>127000</wp:posOffset>
                </wp:positionV>
                <wp:extent cx="562610" cy="522605"/>
                <wp:effectExtent l="0" t="0" r="0" b="0"/>
                <wp:wrapNone/>
                <wp:docPr id="1037962772"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448FBB68"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15,792</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4F957A" id="_x0000_s1034" style="position:absolute;left:0;text-align:left;margin-left:212.15pt;margin-top:10pt;width:44.3pt;height:41.15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" filled="f" stroked="f">
                <v:textbox style="mso-fit-shape-to-text:t">
                  <w:txbxContent>
                    <w:p w14:paraId="448FBB68"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15,792</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0160" behindDoc="0" locked="0" layoutInCell="1" allowOverlap="1" wp14:anchorId="25979A4C" wp14:editId="44072EC6">
                <wp:simplePos x="0" y="0"/>
                <wp:positionH relativeFrom="margin">
                  <wp:posOffset>3257550</wp:posOffset>
                </wp:positionH>
                <wp:positionV relativeFrom="paragraph">
                  <wp:posOffset>127000</wp:posOffset>
                </wp:positionV>
                <wp:extent cx="562610" cy="522605"/>
                <wp:effectExtent l="0" t="0" r="0" b="0"/>
                <wp:wrapNone/>
                <wp:docPr id="854729689"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26936C23"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20 200</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979A4C" id="_x0000_s1035" style="position:absolute;left:0;text-align:left;margin-left:256.5pt;margin-top:10pt;width:44.3pt;height:41.15pt;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" filled="f" stroked="f">
                <v:textbox style="mso-fit-shape-to-text:t">
                  <w:txbxContent>
                    <w:p w14:paraId="26936C23"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20 200</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1184" behindDoc="0" locked="0" layoutInCell="1" allowOverlap="1" wp14:anchorId="629A419D" wp14:editId="52D3FC26">
                <wp:simplePos x="0" y="0"/>
                <wp:positionH relativeFrom="margin">
                  <wp:posOffset>3820160</wp:posOffset>
                </wp:positionH>
                <wp:positionV relativeFrom="paragraph">
                  <wp:posOffset>126365</wp:posOffset>
                </wp:positionV>
                <wp:extent cx="562610" cy="522605"/>
                <wp:effectExtent l="0" t="0" r="0" b="0"/>
                <wp:wrapNone/>
                <wp:docPr id="915340330"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54B51DC6"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24 255</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9A419D" id="_x0000_s1036" style="position:absolute;left:0;text-align:left;margin-left:300.8pt;margin-top:9.95pt;width:44.3pt;height:41.1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" filled="f" stroked="f">
                <v:textbox style="mso-fit-shape-to-text:t">
                  <w:txbxContent>
                    <w:p w14:paraId="54B51DC6"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24 255</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2208" behindDoc="0" locked="0" layoutInCell="1" allowOverlap="1" wp14:anchorId="297D2F06" wp14:editId="4281BE44">
                <wp:simplePos x="0" y="0"/>
                <wp:positionH relativeFrom="margin">
                  <wp:posOffset>4383405</wp:posOffset>
                </wp:positionH>
                <wp:positionV relativeFrom="paragraph">
                  <wp:posOffset>127212</wp:posOffset>
                </wp:positionV>
                <wp:extent cx="562610" cy="522605"/>
                <wp:effectExtent l="0" t="0" r="0" b="0"/>
                <wp:wrapNone/>
                <wp:docPr id="1535138249"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275E9D0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29,854</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D2F06" id="_x0000_s1037" style="position:absolute;left:0;text-align:left;margin-left:345.15pt;margin-top:10pt;width:44.3pt;height:41.15p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" filled="f" stroked="f">
                <v:textbox style="mso-fit-shape-to-text:t">
                  <w:txbxContent>
                    <w:p w14:paraId="275E9D0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29,854</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3232" behindDoc="0" locked="0" layoutInCell="1" allowOverlap="1" wp14:anchorId="066CFC51" wp14:editId="1E185917">
                <wp:simplePos x="0" y="0"/>
                <wp:positionH relativeFrom="margin">
                  <wp:posOffset>4946650</wp:posOffset>
                </wp:positionH>
                <wp:positionV relativeFrom="paragraph">
                  <wp:posOffset>127212</wp:posOffset>
                </wp:positionV>
                <wp:extent cx="562610" cy="522605"/>
                <wp:effectExtent l="0" t="0" r="0" b="0"/>
                <wp:wrapNone/>
                <wp:docPr id="167018627"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644AC21C"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35,832</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6CFC51" id="_x0000_s1038" style="position:absolute;left:0;text-align:left;margin-left:389.5pt;margin-top:10pt;width:44.3pt;height:41.1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" filled="f" stroked="f">
                <v:textbox style="mso-fit-shape-to-text:t">
                  <w:txbxContent>
                    <w:p w14:paraId="644AC21C"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35,832</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4256" behindDoc="0" locked="0" layoutInCell="1" allowOverlap="1" wp14:anchorId="271E7A89" wp14:editId="574F8F91">
                <wp:simplePos x="0" y="0"/>
                <wp:positionH relativeFrom="margin">
                  <wp:posOffset>5508625</wp:posOffset>
                </wp:positionH>
                <wp:positionV relativeFrom="paragraph">
                  <wp:posOffset>126577</wp:posOffset>
                </wp:positionV>
                <wp:extent cx="563034" cy="522605"/>
                <wp:effectExtent l="0" t="0" r="0" b="0"/>
                <wp:wrapNone/>
                <wp:docPr id="965799900"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28BBD2B1"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37,226</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1E7A89" id="_x0000_s1039" style="position:absolute;left:0;text-align:left;margin-left:433.75pt;margin-top:9.95pt;width:44.35pt;height:41.15pt;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" filled="f" stroked="f">
                <v:textbox style="mso-fit-shape-to-text:t">
                  <w:txbxContent>
                    <w:p w14:paraId="28BBD2B1"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37,226</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9136" behindDoc="0" locked="0" layoutInCell="1" allowOverlap="1" wp14:anchorId="2243978D" wp14:editId="1619C8F4">
                <wp:simplePos x="0" y="0"/>
                <wp:positionH relativeFrom="margin">
                  <wp:posOffset>2131483</wp:posOffset>
                </wp:positionH>
                <wp:positionV relativeFrom="paragraph">
                  <wp:posOffset>126788</wp:posOffset>
                </wp:positionV>
                <wp:extent cx="563034" cy="522605"/>
                <wp:effectExtent l="0" t="0" r="0" b="0"/>
                <wp:wrapNone/>
                <wp:docPr id="2041388654"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2061E3F2"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14,743</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43978D" id="_x0000_s1040" style="position:absolute;left:0;text-align:left;margin-left:167.85pt;margin-top:10pt;width:44.35pt;height:41.15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" filled="f" stroked="f">
                <v:textbox style="mso-fit-shape-to-text:t">
                  <w:txbxContent>
                    <w:p w14:paraId="2061E3F2"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14,743</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8112" behindDoc="0" locked="0" layoutInCell="1" allowOverlap="1" wp14:anchorId="763EEC1D" wp14:editId="66F50C91">
                <wp:simplePos x="0" y="0"/>
                <wp:positionH relativeFrom="margin">
                  <wp:posOffset>1582843</wp:posOffset>
                </wp:positionH>
                <wp:positionV relativeFrom="paragraph">
                  <wp:posOffset>120439</wp:posOffset>
                </wp:positionV>
                <wp:extent cx="563034" cy="522605"/>
                <wp:effectExtent l="0" t="0" r="0" b="0"/>
                <wp:wrapNone/>
                <wp:docPr id="1798219557"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53FE0A94"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13,763</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EEC1D" id="_x0000_s1041" style="position:absolute;left:0;text-align:left;margin-left:124.65pt;margin-top:9.5pt;width:44.35pt;height:41.1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" filled="f" stroked="f">
                <v:textbox style="mso-fit-shape-to-text:t">
                  <w:txbxContent>
                    <w:p w14:paraId="53FE0A94"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13,763</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7088" behindDoc="0" locked="0" layoutInCell="1" allowOverlap="1" wp14:anchorId="61F0166D" wp14:editId="5299482F">
                <wp:simplePos x="0" y="0"/>
                <wp:positionH relativeFrom="margin">
                  <wp:posOffset>1019810</wp:posOffset>
                </wp:positionH>
                <wp:positionV relativeFrom="paragraph">
                  <wp:posOffset>126365</wp:posOffset>
                </wp:positionV>
                <wp:extent cx="563034" cy="522605"/>
                <wp:effectExtent l="0" t="0" r="0" b="0"/>
                <wp:wrapNone/>
                <wp:docPr id="2142964748"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216E9D95"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13,591</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F0166D" id="_x0000_s1042" style="position:absolute;left:0;text-align:left;margin-left:80.3pt;margin-top:9.95pt;width:44.35pt;height:41.1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" filled="f" stroked="f">
                <v:textbox style="mso-fit-shape-to-text:t">
                  <w:txbxContent>
                    <w:p w14:paraId="216E9D95"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13,591</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5040" behindDoc="0" locked="0" layoutInCell="1" allowOverlap="1" wp14:anchorId="5D732530" wp14:editId="256694C8">
                <wp:simplePos x="0" y="0"/>
                <wp:positionH relativeFrom="margin">
                  <wp:posOffset>455083</wp:posOffset>
                </wp:positionH>
                <wp:positionV relativeFrom="paragraph">
                  <wp:posOffset>122767</wp:posOffset>
                </wp:positionV>
                <wp:extent cx="563034" cy="522605"/>
                <wp:effectExtent l="0" t="0" r="0" b="0"/>
                <wp:wrapNone/>
                <wp:docPr id="1475729144"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3BB1A20B"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15,551</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32530" id="_x0000_s1043" style="position:absolute;left:0;text-align:left;margin-left:35.85pt;margin-top:9.65pt;width:44.35pt;height:41.15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" filled="f" stroked="f">
                <v:textbox style="mso-fit-shape-to-text:t">
                  <w:txbxContent>
                    <w:p w14:paraId="3BB1A20B"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15,551</w:t>
                      </w:r>
                    </w:p>
                  </w:txbxContent>
                </v:textbox>
                <w10:wrap anchorx="margin"/>
              </v:rect>
            </w:pict>
          </mc:Fallback>
        </mc:AlternateContent>
      </w:r>
    </w:p>
    <w:p w14:paraId="4689E135" w14:textId="77777777" w:rsidR="00ED0636" w:rsidRPr="007944CB" w:rsidRDefault="00ED0636" w:rsidP="00ED0636">
      <w:pPr>
        <w:tabs>
          <w:tab w:val="left" w:pos="851"/>
        </w:tabs>
        <w:jc w:val="both"/>
      </w:pPr>
      <w:r>
        <w:rPr>
          <w:noProof/>
        </w:rPr>
        <w:drawing>
          <wp:inline distT="0" distB="0" distL="0" distR="0" wp14:anchorId="6B66772C" wp14:editId="54F6CDDE">
            <wp:extent cx="6210300" cy="2568575"/>
            <wp:effectExtent l="0" t="0" r="0" b="3175"/>
            <wp:docPr id="1868016048"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9183C0" w14:textId="471A3605" w:rsidR="00ED0636" w:rsidRPr="000F33EB" w:rsidRDefault="00ED0636" w:rsidP="00ED0636">
      <w:pPr>
        <w:pStyle w:val="af1"/>
        <w:tabs>
          <w:tab w:val="left" w:pos="851"/>
        </w:tabs>
        <w:ind w:left="426"/>
        <w:jc w:val="both"/>
        <w:rPr>
          <w:rFonts w:ascii="Times New Roman" w:hAnsi="Times New Roman"/>
          <w:sz w:val="16"/>
          <w:szCs w:val="16"/>
          <w:lang w:val="en-US"/>
        </w:rPr>
      </w:pPr>
      <w:r w:rsidRPr="000F33EB">
        <w:rPr>
          <w:rFonts w:ascii="Times New Roman" w:hAnsi="Times New Roman"/>
          <w:i/>
          <w:iCs/>
          <w:sz w:val="16"/>
          <w:szCs w:val="16"/>
          <w:lang w:val="en-US"/>
        </w:rPr>
        <w:t xml:space="preserve">Source: Agency of the Republic of Kazakhstan </w:t>
      </w:r>
      <w:r w:rsidR="006626B5">
        <w:rPr>
          <w:rFonts w:ascii="Times New Roman" w:hAnsi="Times New Roman"/>
          <w:i/>
          <w:iCs/>
          <w:sz w:val="16"/>
          <w:szCs w:val="16"/>
          <w:lang w:val="en-US"/>
        </w:rPr>
        <w:t>FMRDA</w:t>
      </w:r>
      <w:r w:rsidRPr="000F33EB">
        <w:rPr>
          <w:rFonts w:ascii="Times New Roman" w:hAnsi="Times New Roman"/>
          <w:i/>
          <w:iCs/>
          <w:sz w:val="16"/>
          <w:szCs w:val="16"/>
          <w:lang w:val="en-US"/>
        </w:rPr>
        <w:t xml:space="preserve"> (www.gov.kz)</w:t>
      </w:r>
    </w:p>
    <w:p w14:paraId="137830E6" w14:textId="77777777" w:rsidR="00F71238" w:rsidRPr="000F33EB" w:rsidRDefault="00F71238" w:rsidP="00F71238">
      <w:pPr>
        <w:pStyle w:val="af1"/>
        <w:tabs>
          <w:tab w:val="left" w:pos="851"/>
        </w:tabs>
        <w:spacing w:after="0" w:line="240" w:lineRule="auto"/>
        <w:ind w:left="426"/>
        <w:jc w:val="both"/>
        <w:rPr>
          <w:rFonts w:ascii="Times New Roman" w:hAnsi="Times New Roman"/>
          <w:sz w:val="24"/>
          <w:szCs w:val="24"/>
          <w:lang w:val="en-US"/>
        </w:rPr>
      </w:pPr>
    </w:p>
    <w:p w14:paraId="04F89A5C" w14:textId="77777777" w:rsidR="00E17AEC" w:rsidRPr="001F748C" w:rsidRDefault="00ED063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Since 2019, the share of loans issued to individuals for targeted needs has significantly exceeded the share of SME loans and continues to grow (the share is 58.4% as of May 1, 2025). The growth in loans issued to individuals is due to rising incomes, improved consumer opportunities, and changing consumption priorities among the population. Furthermore, the development of digital financial instruments and banking services for individuals has contributed to the increase in lending volumes for this client group.</w:t>
      </w:r>
    </w:p>
    <w:p w14:paraId="504674BE" w14:textId="77777777" w:rsidR="00ED0636" w:rsidRPr="0053588E" w:rsidRDefault="00ED0636" w:rsidP="00ED0636">
      <w:pPr>
        <w:tabs>
          <w:tab w:val="left" w:pos="567"/>
          <w:tab w:val="left" w:pos="993"/>
        </w:tabs>
        <w:jc w:val="both"/>
      </w:pPr>
      <w:r>
        <w:rPr>
          <w:noProof/>
        </w:rPr>
        <w:drawing>
          <wp:inline distT="0" distB="0" distL="0" distR="0" wp14:anchorId="1B44934B" wp14:editId="029D56A2">
            <wp:extent cx="6210300" cy="2662766"/>
            <wp:effectExtent l="0" t="0" r="12700" b="17145"/>
            <wp:docPr id="1915303203" name="Диаграмма 1">
              <a:extLst xmlns:a="http://schemas.openxmlformats.org/drawingml/2006/main">
                <a:ext uri="{FF2B5EF4-FFF2-40B4-BE49-F238E27FC236}">
                  <a16:creationId xmlns:a16="http://schemas.microsoft.com/office/drawing/2014/main" id="{29C7C0F5-7E5A-B219-0D88-D7D9A0E5F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F97524" w14:textId="2600C503" w:rsidR="00ED0636" w:rsidRPr="000F33EB" w:rsidRDefault="00ED0636" w:rsidP="00ED0636">
      <w:pPr>
        <w:tabs>
          <w:tab w:val="left" w:pos="851"/>
        </w:tabs>
        <w:jc w:val="both"/>
        <w:rPr>
          <w:sz w:val="16"/>
          <w:szCs w:val="16"/>
          <w:lang w:val="en-US"/>
        </w:rPr>
      </w:pPr>
      <w:r w:rsidRPr="000F33EB">
        <w:rPr>
          <w:i/>
          <w:iCs/>
          <w:sz w:val="16"/>
          <w:szCs w:val="16"/>
          <w:lang w:val="en-US"/>
        </w:rPr>
        <w:t xml:space="preserve">Source: Agency of the Republic of Kazakhstan </w:t>
      </w:r>
      <w:r w:rsidR="006626B5">
        <w:rPr>
          <w:i/>
          <w:iCs/>
          <w:sz w:val="16"/>
          <w:szCs w:val="16"/>
          <w:lang w:val="en-US"/>
        </w:rPr>
        <w:t>FMRDA</w:t>
      </w:r>
      <w:r w:rsidRPr="000F33EB">
        <w:rPr>
          <w:i/>
          <w:iCs/>
          <w:sz w:val="16"/>
          <w:szCs w:val="16"/>
          <w:lang w:val="en-US"/>
        </w:rPr>
        <w:t xml:space="preserve"> (www.gov.kz)</w:t>
      </w:r>
    </w:p>
    <w:p w14:paraId="320FB0EF" w14:textId="77777777" w:rsidR="00D94DF6" w:rsidRPr="000F33EB" w:rsidRDefault="00D94DF6" w:rsidP="00ED0636">
      <w:pPr>
        <w:pStyle w:val="af1"/>
        <w:spacing w:after="0" w:line="240" w:lineRule="auto"/>
        <w:ind w:left="0"/>
        <w:jc w:val="both"/>
        <w:rPr>
          <w:rFonts w:ascii="Times New Roman" w:hAnsi="Times New Roman"/>
          <w:sz w:val="24"/>
          <w:szCs w:val="24"/>
          <w:lang w:val="en-US"/>
        </w:rPr>
      </w:pPr>
    </w:p>
    <w:p w14:paraId="1F0385E9" w14:textId="54661BB0" w:rsidR="00153EC6" w:rsidRPr="001F748C" w:rsidRDefault="004E5BC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A07377">
        <w:rPr>
          <w:rFonts w:ascii="Times New Roman" w:hAnsi="Times New Roman"/>
          <w:sz w:val="24"/>
          <w:szCs w:val="24"/>
        </w:rPr>
        <w:t xml:space="preserve">In 2020–2022, the Damu Fund faced unprecedented challenges related to the COVID-19 pandemic, requiring a rapid restructuring of its business processes. The crisis became a catalyst for digitalization: the Fund completely transferred application processing to the online platform online.damu.kz, implemented an automated scoring system, and provided 24/7 support for entrepreneurs. This experience laid the </w:t>
      </w:r>
      <w:r w:rsidR="00A157BD">
        <w:rPr>
          <w:rFonts w:ascii="Times New Roman" w:hAnsi="Times New Roman"/>
          <w:sz w:val="24"/>
          <w:szCs w:val="24"/>
        </w:rPr>
        <w:t>Fund</w:t>
      </w:r>
      <w:r w:rsidRPr="00A07377">
        <w:rPr>
          <w:rFonts w:ascii="Times New Roman" w:hAnsi="Times New Roman"/>
          <w:sz w:val="24"/>
          <w:szCs w:val="24"/>
        </w:rPr>
        <w:t xml:space="preserve"> for the further development of digital services, including </w:t>
      </w:r>
      <w:r w:rsidRPr="00A07377">
        <w:rPr>
          <w:rFonts w:ascii="Times New Roman" w:hAnsi="Times New Roman"/>
          <w:sz w:val="24"/>
          <w:szCs w:val="24"/>
        </w:rPr>
        <w:lastRenderedPageBreak/>
        <w:t>robotic process automation (RPA), AI analytics, and mobile solutions, which are now key elements of Strategy 2033.</w:t>
      </w:r>
    </w:p>
    <w:p w14:paraId="65350140" w14:textId="77777777" w:rsidR="00153EC6" w:rsidRPr="001F748C" w:rsidRDefault="004E5BC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250DB3">
        <w:rPr>
          <w:rFonts w:ascii="Times New Roman" w:hAnsi="Times New Roman"/>
          <w:sz w:val="24"/>
          <w:szCs w:val="24"/>
        </w:rPr>
        <w:t>The COVID-19 pandemic and subsequent geoeconomic shocks (2020–2024) put significant pressure on the MSME sector, reducing Kazakhstan's GDP by 2.5% in 2020 and causing imbalances in logistics, trade, tourism, and other sectors. However, by 2023, the economy was showing recovery, largely thanks to anti-crisis measures to support businesses.</w:t>
      </w:r>
    </w:p>
    <w:p w14:paraId="3D7DEAA3" w14:textId="77777777" w:rsidR="00F03EA5" w:rsidRPr="00321D7E" w:rsidRDefault="00F03EA5"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321D7E">
        <w:rPr>
          <w:rFonts w:ascii="Times New Roman" w:hAnsi="Times New Roman"/>
          <w:sz w:val="24"/>
          <w:szCs w:val="24"/>
        </w:rPr>
        <w:t>The Damu Fund quickly adapted its programs, lifting sectoral restrictions and launching temporary measures such as microcredit and portfolio guarantees. These measures not only helped businesses survive the crisis but also formed the basis for new programs, such as the Guarantee Funds, which ensure the long-term sustainability of support for MSMEs. The lessons of the pandemic have confirmed the need for flexibility and digitalization in the management of financial instruments.</w:t>
      </w:r>
    </w:p>
    <w:p w14:paraId="229F48C2" w14:textId="77777777" w:rsidR="00F03EA5" w:rsidRPr="000F33EB" w:rsidRDefault="00F03EA5" w:rsidP="00F03EA5">
      <w:pPr>
        <w:jc w:val="both"/>
        <w:rPr>
          <w:color w:val="auto"/>
          <w:lang w:val="en-US"/>
        </w:rPr>
      </w:pPr>
      <w:r w:rsidRPr="000E6F4F">
        <w:rPr>
          <w:noProof/>
        </w:rPr>
        <mc:AlternateContent>
          <mc:Choice Requires="wps">
            <w:drawing>
              <wp:anchor distT="0" distB="0" distL="114300" distR="114300" simplePos="0" relativeHeight="251746304" behindDoc="0" locked="0" layoutInCell="1" allowOverlap="1" wp14:anchorId="3A629D24" wp14:editId="74334DAF">
                <wp:simplePos x="0" y="0"/>
                <wp:positionH relativeFrom="margin">
                  <wp:align>center</wp:align>
                </wp:positionH>
                <wp:positionV relativeFrom="paragraph">
                  <wp:posOffset>10305</wp:posOffset>
                </wp:positionV>
                <wp:extent cx="4973055" cy="523220"/>
                <wp:effectExtent l="0" t="0" r="0" b="0"/>
                <wp:wrapNone/>
                <wp:docPr id="30" name="Прямоугольник 29"/>
                <wp:cNvGraphicFramePr/>
                <a:graphic xmlns:a="http://schemas.openxmlformats.org/drawingml/2006/main">
                  <a:graphicData uri="http://schemas.microsoft.com/office/word/2010/wordprocessingShape">
                    <wps:wsp>
                      <wps:cNvSpPr/>
                      <wps:spPr>
                        <a:xfrm>
                          <a:off x="0" y="0"/>
                          <a:ext cx="4973055" cy="523220"/>
                        </a:xfrm>
                        <a:prstGeom prst="rect">
                          <a:avLst/>
                        </a:prstGeom>
                        <a:solidFill>
                          <a:schemeClr val="bg1"/>
                        </a:solidFill>
                      </wps:spPr>
                      <wps:txbx>
                        <w:txbxContent>
                          <w:p w14:paraId="76940177" w14:textId="77777777" w:rsidR="00D4323D" w:rsidRPr="00CD5E54" w:rsidRDefault="00D4323D" w:rsidP="00F03EA5">
                            <w:pPr>
                              <w:pStyle w:val="af6"/>
                              <w:jc w:val="center"/>
                              <w:rPr>
                                <w:lang w:val="en-US"/>
                              </w:rPr>
                            </w:pPr>
                            <w:r w:rsidRPr="00CD5E54">
                              <w:rPr>
                                <w:b/>
                                <w:bCs/>
                                <w:color w:val="000000" w:themeColor="text1"/>
                                <w:kern w:val="24"/>
                                <w:lang w:val="en-US"/>
                              </w:rPr>
                              <w:t>Production of products by SMEs and participants in state programs of the Damu Fund</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629D24" id="Прямоугольник 29" o:spid="_x0000_s1044" style="position:absolute;left:0;text-align:left;margin-left:0;margin-top:.8pt;width:391.6pt;height:41.2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" fillcolor="white [3212]" stroked="f">
                <v:textbox style="mso-fit-shape-to-text:t">
                  <w:txbxContent>
                    <w:p w14:paraId="76940177" w14:textId="77777777" w:rsidR="00D4323D" w:rsidRPr="00CD5E54" w:rsidRDefault="00D4323D" w:rsidP="00F03EA5">
                      <w:pPr>
                        <w:pStyle w:val="af6"/>
                        <w:jc w:val="center"/>
                        <w:rPr>
                          <w:lang w:val="en-US"/>
                        </w:rPr>
                      </w:pPr>
                      <w:r w:rsidRPr="00CD5E54">
                        <w:rPr>
                          <w:b/>
                          <w:bCs/>
                          <w:color w:val="000000" w:themeColor="text1"/>
                          <w:kern w:val="24"/>
                          <w:lang w:val="en-US"/>
                        </w:rPr>
                        <w:t>Production of products by SMEs and participants in state programs of the Damu Fund</w:t>
                      </w:r>
                    </w:p>
                  </w:txbxContent>
                </v:textbox>
                <w10:wrap anchorx="margin"/>
              </v:rect>
            </w:pict>
          </mc:Fallback>
        </mc:AlternateContent>
      </w:r>
    </w:p>
    <w:p w14:paraId="53B6F046" w14:textId="77777777" w:rsidR="00F03EA5" w:rsidRPr="000F33EB" w:rsidRDefault="00F03EA5" w:rsidP="00F03EA5">
      <w:pPr>
        <w:pStyle w:val="af1"/>
        <w:tabs>
          <w:tab w:val="left" w:pos="851"/>
        </w:tabs>
        <w:ind w:left="0"/>
        <w:jc w:val="both"/>
        <w:rPr>
          <w:rFonts w:ascii="Times New Roman" w:hAnsi="Times New Roman"/>
          <w:i/>
          <w:iCs/>
          <w:sz w:val="16"/>
          <w:szCs w:val="16"/>
          <w:lang w:val="en-US"/>
        </w:rPr>
      </w:pPr>
    </w:p>
    <w:p w14:paraId="2C2C974E" w14:textId="77777777" w:rsidR="00F03EA5" w:rsidRPr="004A5106" w:rsidRDefault="00F03EA5" w:rsidP="00F03EA5">
      <w:pPr>
        <w:pStyle w:val="af1"/>
        <w:tabs>
          <w:tab w:val="left" w:pos="851"/>
        </w:tabs>
        <w:ind w:left="0"/>
        <w:jc w:val="both"/>
        <w:rPr>
          <w:rFonts w:ascii="Times New Roman" w:hAnsi="Times New Roman"/>
          <w:sz w:val="24"/>
          <w:szCs w:val="24"/>
          <w:lang w:val="en-US"/>
        </w:rPr>
      </w:pPr>
      <w:r>
        <w:rPr>
          <w:noProof/>
          <w:lang w:val="ru-RU" w:eastAsia="ru-RU"/>
        </w:rPr>
        <w:drawing>
          <wp:inline distT="0" distB="0" distL="0" distR="0" wp14:anchorId="6F382A15" wp14:editId="58B35D0A">
            <wp:extent cx="6210300" cy="2339975"/>
            <wp:effectExtent l="0" t="0" r="0" b="3175"/>
            <wp:docPr id="402719709" name="Диаграмма 1">
              <a:extLst xmlns:a="http://schemas.openxmlformats.org/drawingml/2006/main">
                <a:ext uri="{FF2B5EF4-FFF2-40B4-BE49-F238E27FC236}">
                  <a16:creationId xmlns:a16="http://schemas.microsoft.com/office/drawing/2014/main" id="{1FB98DDD-9745-8068-D71D-2641547E5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B55810" w14:textId="77777777" w:rsidR="00F03EA5" w:rsidRPr="000F33EB" w:rsidRDefault="00F03EA5" w:rsidP="00F03EA5">
      <w:pPr>
        <w:pStyle w:val="af1"/>
        <w:tabs>
          <w:tab w:val="left" w:pos="851"/>
        </w:tabs>
        <w:ind w:left="426"/>
        <w:jc w:val="both"/>
        <w:rPr>
          <w:rFonts w:ascii="Times New Roman" w:hAnsi="Times New Roman"/>
          <w:i/>
          <w:iCs/>
          <w:sz w:val="16"/>
          <w:szCs w:val="16"/>
          <w:lang w:val="en-US"/>
        </w:rPr>
      </w:pPr>
      <w:r w:rsidRPr="000F33EB">
        <w:rPr>
          <w:rFonts w:ascii="Times New Roman" w:hAnsi="Times New Roman"/>
          <w:i/>
          <w:iCs/>
          <w:sz w:val="16"/>
          <w:szCs w:val="16"/>
          <w:lang w:val="en-US"/>
        </w:rPr>
        <w:t>Source: Bureau of Statistics (</w:t>
      </w:r>
      <w:hyperlink r:id="rId28" w:history="1">
        <w:r w:rsidRPr="000F33EB">
          <w:rPr>
            <w:rStyle w:val="a5"/>
            <w:rFonts w:ascii="Times New Roman" w:hAnsi="Times New Roman"/>
            <w:i/>
            <w:iCs/>
            <w:color w:val="auto"/>
            <w:sz w:val="16"/>
            <w:szCs w:val="16"/>
            <w:lang w:val="en-US"/>
          </w:rPr>
          <w:t>www.stat.gov.kz</w:t>
        </w:r>
      </w:hyperlink>
      <w:r w:rsidRPr="000F33EB">
        <w:rPr>
          <w:rFonts w:ascii="Times New Roman" w:hAnsi="Times New Roman"/>
          <w:i/>
          <w:iCs/>
          <w:sz w:val="16"/>
          <w:szCs w:val="16"/>
          <w:lang w:val="en-US"/>
        </w:rPr>
        <w:t>)</w:t>
      </w:r>
    </w:p>
    <w:p w14:paraId="590037A6" w14:textId="77777777" w:rsidR="00F03EA5" w:rsidRPr="000F33EB" w:rsidRDefault="00F03EA5" w:rsidP="00F03EA5">
      <w:pPr>
        <w:pStyle w:val="af1"/>
        <w:tabs>
          <w:tab w:val="left" w:pos="851"/>
        </w:tabs>
        <w:ind w:left="426"/>
        <w:jc w:val="both"/>
        <w:rPr>
          <w:rFonts w:ascii="Times New Roman" w:hAnsi="Times New Roman"/>
          <w:sz w:val="16"/>
          <w:szCs w:val="16"/>
          <w:lang w:val="en-US"/>
        </w:rPr>
      </w:pPr>
    </w:p>
    <w:p w14:paraId="7863D356" w14:textId="048233F5" w:rsidR="008F5F89" w:rsidRPr="001F748C" w:rsidRDefault="0021159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share of output produced by companies participating in Damu Fund programs increased by 7.7% since 2017 and reached 31% of the total MSME output by the end of 2024, but decreased by 6.6 percentage compared to 2023. In absolute terms, the output of Damu Fund program participants increases annually, amounting to 25.4 trillion tenge by the end of 2024. This demonstrates sustainable growth and effective coverage of the small and medium-sized enterprise market.</w:t>
      </w:r>
    </w:p>
    <w:p w14:paraId="28AF89FF" w14:textId="77777777" w:rsidR="00211596" w:rsidRDefault="0021159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0F33EB">
        <w:rPr>
          <w:rFonts w:ascii="Times New Roman" w:hAnsi="Times New Roman"/>
          <w:sz w:val="24"/>
          <w:szCs w:val="24"/>
          <w:lang w:val="en-US"/>
        </w:rPr>
        <w:t>In compliance with the President's decrees, support was also directed toward affected sectors not covered by the Fund's programs. More than 19,000 projects in the hardest-hit sectors of the economy received support, totaling over 800 billion tenge. The government also provided loan deferrals for entrepreneurs in the affected sectors. In response to the challenges posed by the pandemic, the Damu Fund reduced the review period for subsidy and guarantee applications to one business day.</w:t>
      </w:r>
    </w:p>
    <w:p w14:paraId="714DC9EF" w14:textId="77777777" w:rsidR="00211596" w:rsidRPr="000F33EB" w:rsidRDefault="00211596" w:rsidP="00211596">
      <w:pPr>
        <w:tabs>
          <w:tab w:val="left" w:pos="567"/>
          <w:tab w:val="left" w:pos="993"/>
        </w:tabs>
        <w:jc w:val="both"/>
        <w:rPr>
          <w:lang w:val="en-US"/>
        </w:rPr>
      </w:pPr>
    </w:p>
    <w:p w14:paraId="5048CEE8" w14:textId="77777777" w:rsidR="00211596" w:rsidRPr="00211596" w:rsidRDefault="00211596" w:rsidP="006451E4">
      <w:pPr>
        <w:ind w:left="284"/>
        <w:jc w:val="center"/>
      </w:pPr>
      <w:r w:rsidRPr="00EA4E00">
        <w:rPr>
          <w:noProof/>
        </w:rPr>
        <w:lastRenderedPageBreak/>
        <mc:AlternateContent>
          <mc:Choice Requires="wps">
            <w:drawing>
              <wp:anchor distT="0" distB="0" distL="114300" distR="114300" simplePos="0" relativeHeight="251748352" behindDoc="0" locked="0" layoutInCell="1" allowOverlap="1" wp14:anchorId="74053ABF" wp14:editId="07ABA3BB">
                <wp:simplePos x="0" y="0"/>
                <wp:positionH relativeFrom="margin">
                  <wp:posOffset>447040</wp:posOffset>
                </wp:positionH>
                <wp:positionV relativeFrom="paragraph">
                  <wp:posOffset>635</wp:posOffset>
                </wp:positionV>
                <wp:extent cx="5221605" cy="383540"/>
                <wp:effectExtent l="0" t="0" r="0" b="0"/>
                <wp:wrapNone/>
                <wp:docPr id="19" name="Прямоугольник 2">
                  <a:extLst xmlns:a="http://schemas.openxmlformats.org/drawingml/2006/main">
                    <a:ext uri="{FF2B5EF4-FFF2-40B4-BE49-F238E27FC236}">
                      <a16:creationId xmlns:a16="http://schemas.microsoft.com/office/drawing/2014/main" id="{CE53A269-B448-EB6D-AFF4-B4D986D8D0DE}"/>
                    </a:ext>
                  </a:extLst>
                </wp:docPr>
                <wp:cNvGraphicFramePr/>
                <a:graphic xmlns:a="http://schemas.openxmlformats.org/drawingml/2006/main">
                  <a:graphicData uri="http://schemas.microsoft.com/office/word/2010/wordprocessingShape">
                    <wps:wsp>
                      <wps:cNvSpPr/>
                      <wps:spPr>
                        <a:xfrm>
                          <a:off x="0" y="0"/>
                          <a:ext cx="5221605" cy="383540"/>
                        </a:xfrm>
                        <a:prstGeom prst="rect">
                          <a:avLst/>
                        </a:prstGeom>
                        <a:noFill/>
                      </wps:spPr>
                      <wps:txbx>
                        <w:txbxContent>
                          <w:p w14:paraId="240C3EAA" w14:textId="79C71DDA" w:rsidR="00D4323D" w:rsidRPr="00CD5E54" w:rsidRDefault="00D4323D" w:rsidP="00211596">
                            <w:pPr>
                              <w:pStyle w:val="af6"/>
                              <w:jc w:val="center"/>
                              <w:rPr>
                                <w:sz w:val="20"/>
                                <w:szCs w:val="20"/>
                                <w:lang w:val="en-US"/>
                              </w:rPr>
                            </w:pPr>
                            <w:r w:rsidRPr="00CD5E54">
                              <w:rPr>
                                <w:b/>
                                <w:bCs/>
                                <w:color w:val="000000" w:themeColor="text1"/>
                                <w:kern w:val="24"/>
                                <w:sz w:val="20"/>
                                <w:szCs w:val="20"/>
                                <w:lang w:val="en-US"/>
                              </w:rPr>
                              <w:t xml:space="preserve">The share of coverage of state support measures in the SME lending market of </w:t>
                            </w:r>
                            <w:r w:rsidR="009F075F">
                              <w:rPr>
                                <w:b/>
                                <w:bCs/>
                                <w:color w:val="000000" w:themeColor="text1"/>
                                <w:kern w:val="24"/>
                                <w:sz w:val="20"/>
                                <w:szCs w:val="20"/>
                                <w:lang w:val="en-US"/>
                              </w:rPr>
                              <w:t>STB</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053ABF" id="Прямоугольник 2" o:spid="_x0000_s1045" style="position:absolute;left:0;text-align:left;margin-left:35.2pt;margin-top:.05pt;width:411.15pt;height:30.2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" filled="f" stroked="f">
                <v:textbox style="mso-fit-shape-to-text:t">
                  <w:txbxContent>
                    <w:p w14:paraId="240C3EAA" w14:textId="79C71DDA" w:rsidR="00D4323D" w:rsidRPr="00CD5E54" w:rsidRDefault="00D4323D" w:rsidP="00211596">
                      <w:pPr>
                        <w:pStyle w:val="af6"/>
                        <w:jc w:val="center"/>
                        <w:rPr>
                          <w:sz w:val="20"/>
                          <w:szCs w:val="20"/>
                          <w:lang w:val="en-US"/>
                        </w:rPr>
                      </w:pPr>
                      <w:r w:rsidRPr="00CD5E54">
                        <w:rPr>
                          <w:b/>
                          <w:bCs/>
                          <w:color w:val="000000" w:themeColor="text1"/>
                          <w:kern w:val="24"/>
                          <w:sz w:val="20"/>
                          <w:szCs w:val="20"/>
                          <w:lang w:val="en-US"/>
                        </w:rPr>
                        <w:t xml:space="preserve">The share of coverage of state support measures in the SME lending market of </w:t>
                      </w:r>
                      <w:r w:rsidR="009F075F">
                        <w:rPr>
                          <w:b/>
                          <w:bCs/>
                          <w:color w:val="000000" w:themeColor="text1"/>
                          <w:kern w:val="24"/>
                          <w:sz w:val="20"/>
                          <w:szCs w:val="20"/>
                          <w:lang w:val="en-US"/>
                        </w:rPr>
                        <w:t>STB</w:t>
                      </w:r>
                    </w:p>
                  </w:txbxContent>
                </v:textbox>
                <w10:wrap anchorx="margin"/>
              </v:rect>
            </w:pict>
          </mc:Fallback>
        </mc:AlternateContent>
      </w:r>
      <w:r>
        <w:rPr>
          <w:noProof/>
        </w:rPr>
        <w:drawing>
          <wp:inline distT="0" distB="0" distL="0" distR="0" wp14:anchorId="5EB4F773" wp14:editId="6030BDB0">
            <wp:extent cx="4908550" cy="2647950"/>
            <wp:effectExtent l="0" t="0" r="6350" b="6350"/>
            <wp:docPr id="47103538" name="Диаграмма 1">
              <a:extLst xmlns:a="http://schemas.openxmlformats.org/drawingml/2006/main">
                <a:ext uri="{FF2B5EF4-FFF2-40B4-BE49-F238E27FC236}">
                  <a16:creationId xmlns:a16="http://schemas.microsoft.com/office/drawing/2014/main" id="{21C14CE8-9E34-1CF8-B6B4-FF8786800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368881" w14:textId="77777777" w:rsidR="00211596" w:rsidRPr="000F33EB" w:rsidRDefault="00211596" w:rsidP="00211596">
      <w:pPr>
        <w:jc w:val="both"/>
        <w:rPr>
          <w:sz w:val="16"/>
          <w:szCs w:val="16"/>
          <w:lang w:val="en-US"/>
        </w:rPr>
      </w:pPr>
      <w:r w:rsidRPr="000F33EB">
        <w:rPr>
          <w:i/>
          <w:iCs/>
          <w:sz w:val="16"/>
          <w:szCs w:val="16"/>
          <w:lang w:val="en-US"/>
        </w:rPr>
        <w:t>* amounts for existing loans are taken into account, excluding large projects and projects supported through microfinance organizations and personal accounts.</w:t>
      </w:r>
    </w:p>
    <w:p w14:paraId="0B1F77C3" w14:textId="77777777" w:rsidR="00211596" w:rsidRPr="000F33EB" w:rsidRDefault="00211596" w:rsidP="00211596">
      <w:pPr>
        <w:jc w:val="both"/>
        <w:rPr>
          <w:color w:val="auto"/>
          <w:sz w:val="16"/>
          <w:szCs w:val="16"/>
          <w:lang w:val="en-US"/>
        </w:rPr>
      </w:pPr>
      <w:r w:rsidRPr="000F33EB">
        <w:rPr>
          <w:i/>
          <w:iCs/>
          <w:color w:val="auto"/>
          <w:sz w:val="16"/>
          <w:szCs w:val="16"/>
          <w:lang w:val="en-US"/>
        </w:rPr>
        <w:t>Source:</w:t>
      </w:r>
      <w:hyperlink r:id="rId30" w:history="1">
        <w:r w:rsidRPr="00211596">
          <w:rPr>
            <w:rStyle w:val="a5"/>
            <w:i/>
            <w:iCs/>
            <w:color w:val="auto"/>
            <w:sz w:val="16"/>
            <w:szCs w:val="16"/>
            <w:lang w:val="en-US"/>
          </w:rPr>
          <w:t>https://www.gov.kz/memleket/entities/ardfm/press/article/details/72350?lang=ru</w:t>
        </w:r>
      </w:hyperlink>
    </w:p>
    <w:p w14:paraId="51421E79" w14:textId="77777777" w:rsidR="00211596" w:rsidRPr="00211596" w:rsidRDefault="00211596" w:rsidP="00211596">
      <w:pPr>
        <w:tabs>
          <w:tab w:val="left" w:pos="567"/>
          <w:tab w:val="left" w:pos="993"/>
        </w:tabs>
        <w:jc w:val="both"/>
        <w:rPr>
          <w:lang w:val="kk-KZ"/>
        </w:rPr>
      </w:pPr>
    </w:p>
    <w:p w14:paraId="7097EF5B" w14:textId="77777777" w:rsidR="004437EC" w:rsidRPr="000F33EB" w:rsidRDefault="001247D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In countries with high per capita gross domestic product (GDP), such as those in Western Europe, North America, and Southeast Asia, the small and medium enterprise (SME) sector accounts for more than 50–60% of GDP and employs up to 70% of the working population. According to the Bureau of National Statistics, as of January 1, 2025, there were 2,262,400 registered SMEs in the Republic of Kazakhstan, of which 2,071,700 were active. The SME sector employed 4,422,100 people, representing 45.8% of the total economically active population. As of the end of 2024, the share of SMEs in the structure of the GDP was 39.7%, including 32.7% from small enterprises and 7.0% from medium-sized enterprises.</w:t>
      </w:r>
    </w:p>
    <w:p w14:paraId="0FC66960" w14:textId="77777777" w:rsidR="004437EC" w:rsidRPr="000F33EB" w:rsidRDefault="001B1E48"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Given these data, government support measures aimed at developing the SME sector should focus on expanding the availability and effectiveness of financial instruments. Key mechanisms include: providing loans and leasing through second-tier banks, microfinance organizations, and leasing companies; subsidizing interest rates; providing guarantees for loans and other obligations; microfinance and factoring. Also relevant are measures to develop alternative sources of financing, including the issuance of targeted bonds (including "green" and social bonds). The implementation of these instruments is aimed at ensuring sustainable and long-term access of SMEs to financial resources, thereby facilitating their increased contribution to the country's economy.</w:t>
      </w:r>
    </w:p>
    <w:p w14:paraId="49C55055" w14:textId="77777777" w:rsidR="004437EC" w:rsidRPr="000F33EB" w:rsidRDefault="004437EC" w:rsidP="001B1E48">
      <w:pPr>
        <w:pStyle w:val="af1"/>
        <w:tabs>
          <w:tab w:val="left" w:pos="851"/>
        </w:tabs>
        <w:spacing w:after="0" w:line="240" w:lineRule="auto"/>
        <w:ind w:left="426"/>
        <w:jc w:val="both"/>
        <w:rPr>
          <w:rFonts w:ascii="Times New Roman" w:hAnsi="Times New Roman"/>
          <w:sz w:val="24"/>
          <w:szCs w:val="24"/>
          <w:lang w:val="en-US"/>
        </w:rPr>
      </w:pPr>
    </w:p>
    <w:p w14:paraId="31A79928" w14:textId="77777777" w:rsidR="00014C1A" w:rsidRPr="000F33EB" w:rsidRDefault="00003B0B" w:rsidP="0064244C">
      <w:pPr>
        <w:ind w:firstLine="567"/>
        <w:jc w:val="both"/>
        <w:rPr>
          <w:b/>
          <w:bCs/>
          <w:color w:val="auto"/>
          <w:lang w:val="en-US"/>
        </w:rPr>
      </w:pPr>
      <w:bookmarkStart w:id="6" w:name="SUB10200"/>
      <w:bookmarkEnd w:id="6"/>
      <w:r w:rsidRPr="000F33EB">
        <w:rPr>
          <w:b/>
          <w:bCs/>
          <w:color w:val="auto"/>
          <w:lang w:val="en-US"/>
        </w:rPr>
        <w:t>Section 2. Main directions of state economic policy to support entrepreneurship</w:t>
      </w:r>
      <w:bookmarkStart w:id="7" w:name="SUB10300"/>
      <w:bookmarkEnd w:id="7"/>
    </w:p>
    <w:p w14:paraId="05AB69ED" w14:textId="77777777" w:rsidR="00E223CA" w:rsidRPr="000F33EB" w:rsidRDefault="00E223CA" w:rsidP="00E223CA">
      <w:pPr>
        <w:ind w:firstLine="426"/>
        <w:jc w:val="center"/>
        <w:rPr>
          <w:color w:val="auto"/>
          <w:lang w:val="en-US"/>
        </w:rPr>
      </w:pPr>
    </w:p>
    <w:p w14:paraId="1C0B6D23" w14:textId="6FDFE881"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Today, Kazakhstan is creating all the conditions for the successful development of small and medium-sized </w:t>
      </w:r>
      <w:r w:rsidR="001E024C">
        <w:rPr>
          <w:rFonts w:ascii="Times New Roman" w:hAnsi="Times New Roman"/>
          <w:sz w:val="24"/>
          <w:szCs w:val="24"/>
          <w:lang w:val="en-US"/>
        </w:rPr>
        <w:t>enterprises</w:t>
      </w:r>
      <w:r w:rsidRPr="001F748C">
        <w:rPr>
          <w:rFonts w:ascii="Times New Roman" w:hAnsi="Times New Roman"/>
          <w:sz w:val="24"/>
          <w:szCs w:val="24"/>
        </w:rPr>
        <w:t>. Pursuing a targeted and consistent policy to support MSMEs is a key priority for the country's economic development.</w:t>
      </w:r>
    </w:p>
    <w:p w14:paraId="7D66887D"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Fund will continue to be guided in its activities by the key directions of state economic policy in the area of ​​developing micro, small, and medium-sized businesses and improving the well-being of the population, as well as other objectives set by the President and the Government of the Republic of Kazakhstan.</w:t>
      </w:r>
    </w:p>
    <w:p w14:paraId="618F2D20" w14:textId="0B5E4743"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In December 2012, the Head of State's Address to the Nation presented the Development Strategy of the Republic of Kazakhstan to 2050. Its main goal is to create a prosperous society based on a strong state, a developed economy, and opportunities for universal labor, and to place Kazakhstan among the 30 most developed countries in the world by 2050. One of the long-term priorities for achieving this goal is "Comprehensive support for entrepreneurship—the leading force of the national economy"</w:t>
      </w:r>
      <w:r w:rsidR="00AB68BA">
        <w:rPr>
          <w:rFonts w:ascii="Times New Roman" w:hAnsi="Times New Roman"/>
          <w:sz w:val="24"/>
          <w:szCs w:val="24"/>
        </w:rPr>
        <w:t>.</w:t>
      </w:r>
    </w:p>
    <w:p w14:paraId="4CC31F48" w14:textId="50F2A351" w:rsidR="00014C1A" w:rsidRPr="001F748C" w:rsidRDefault="00C02BA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C02BA2">
        <w:rPr>
          <w:rFonts w:ascii="Times New Roman" w:hAnsi="Times New Roman"/>
          <w:sz w:val="24"/>
          <w:szCs w:val="24"/>
        </w:rPr>
        <w:t>In his Message to the people of Kazakhstan "Kazakhstan</w:t>
      </w:r>
      <w:r w:rsidR="007C2FD5">
        <w:rPr>
          <w:rFonts w:ascii="Times New Roman" w:hAnsi="Times New Roman"/>
          <w:sz w:val="24"/>
          <w:szCs w:val="24"/>
          <w:lang w:val="en-US"/>
        </w:rPr>
        <w:t xml:space="preserve"> </w:t>
      </w:r>
      <w:r w:rsidRPr="00C02BA2">
        <w:rPr>
          <w:rFonts w:ascii="Times New Roman" w:hAnsi="Times New Roman"/>
          <w:sz w:val="24"/>
          <w:szCs w:val="24"/>
        </w:rPr>
        <w:t xml:space="preserve"> Way - 2050: a </w:t>
      </w:r>
      <w:r w:rsidR="007C2FD5">
        <w:rPr>
          <w:rFonts w:ascii="Times New Roman" w:hAnsi="Times New Roman"/>
          <w:sz w:val="24"/>
          <w:szCs w:val="24"/>
          <w:lang w:val="en-US"/>
        </w:rPr>
        <w:t>common</w:t>
      </w:r>
      <w:r w:rsidRPr="00C02BA2">
        <w:rPr>
          <w:rFonts w:ascii="Times New Roman" w:hAnsi="Times New Roman"/>
          <w:sz w:val="24"/>
          <w:szCs w:val="24"/>
        </w:rPr>
        <w:t xml:space="preserve"> goal, common interests, </w:t>
      </w:r>
      <w:r w:rsidR="007C2FD5">
        <w:rPr>
          <w:rFonts w:ascii="Times New Roman" w:hAnsi="Times New Roman"/>
          <w:sz w:val="24"/>
          <w:szCs w:val="24"/>
          <w:lang w:val="en-US"/>
        </w:rPr>
        <w:t xml:space="preserve">common </w:t>
      </w:r>
      <w:r w:rsidRPr="00C02BA2">
        <w:rPr>
          <w:rFonts w:ascii="Times New Roman" w:hAnsi="Times New Roman"/>
          <w:sz w:val="24"/>
          <w:szCs w:val="24"/>
        </w:rPr>
        <w:t xml:space="preserve">future" as well as in the Concept for Kazakhstan's entry into the 30 most </w:t>
      </w:r>
      <w:r w:rsidRPr="00C02BA2">
        <w:rPr>
          <w:rFonts w:ascii="Times New Roman" w:hAnsi="Times New Roman"/>
          <w:sz w:val="24"/>
          <w:szCs w:val="24"/>
        </w:rPr>
        <w:lastRenderedPageBreak/>
        <w:t>developed countries of the world, the First President of the Republic of Kazakhstan - Nursultan Nazarbayev highlighted five strategic directions, the implementation of which will contribute to the entry of Kazakhstan into the number of the most developed countries of the world, one of which is the improvement of the institutional environment, providing favorable conditions for business development and entrepreneurial initiatives</w:t>
      </w:r>
      <w:r w:rsidR="00003B0B" w:rsidRPr="001F748C">
        <w:rPr>
          <w:rFonts w:ascii="Times New Roman" w:hAnsi="Times New Roman"/>
          <w:sz w:val="24"/>
          <w:szCs w:val="24"/>
        </w:rPr>
        <w:t>.</w:t>
      </w:r>
    </w:p>
    <w:p w14:paraId="7493F441" w14:textId="77777777" w:rsidR="004437EC" w:rsidRPr="001B1E48" w:rsidRDefault="004437E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As part of the implementation of the National Development Plan of the Republic of Kazakhstan until 2029, dated July 30, 2024, it is envisaged to create a favorable and competitive business environment by reducing administrative burdens, digitalizing government-business interactions, improving the effectiveness of support measures, and expanding enterprise participation in export activities. Particular attention is paid to supporting the growth and consolidation of SMEs, eliminating market distortions, creating a level playing field for competition, reducing government share in developed markets, and encouraging businesses to exit the informal sector. The development of government support instruments is accompanied by a transition to a targeted approach, the introduction of scoring systems, improvements to trade infrastructure, strengthening the position of domestic producers, and the modernization of the technical regulation system. At the same time, measures are envisaged to ensure the transparency of tax policy, expand the use of digital solutions, and enhance competitive neutrality between the private and quasi-public sectors.</w:t>
      </w:r>
    </w:p>
    <w:p w14:paraId="6B0E5F6A" w14:textId="77777777" w:rsidR="00EB1EB6" w:rsidRPr="001F748C" w:rsidRDefault="001B1E4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0F33EB">
        <w:rPr>
          <w:rFonts w:ascii="Times New Roman" w:hAnsi="Times New Roman"/>
          <w:sz w:val="24"/>
          <w:szCs w:val="24"/>
          <w:lang w:val="en-US"/>
        </w:rPr>
        <w:t>Taking into account the changes made to the Concept for the Development of Small and Medium-Sized Entrepreneurship in the Republic of Kazakhstan until 2030, the main factors capable of influencing the growth of the country's indicators in the area of ​​SME development have been identified:</w:t>
      </w:r>
    </w:p>
    <w:p w14:paraId="216F64D0" w14:textId="77777777" w:rsidR="001B1E48" w:rsidRPr="000F33EB"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transition to targeted mechanisms of state support based on digital tools and a scoring system for assessing enterprises, taking into account their financial performance, export potential and stage of development;</w:t>
      </w:r>
    </w:p>
    <w:p w14:paraId="497B4A6A" w14:textId="77777777" w:rsidR="001B1E48" w:rsidRPr="000F33EB"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strengthening the role of medium-sized businesses as a key segment with high productivity, scalability potential and influence on non-resource exports;</w:t>
      </w:r>
    </w:p>
    <w:p w14:paraId="19E2AFF5" w14:textId="77777777" w:rsidR="001B1E48" w:rsidRPr="000F33EB"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ensuring competitive neutrality, including reducing state participation in competitive markets and leveling the playing field for the private sector;</w:t>
      </w:r>
    </w:p>
    <w:p w14:paraId="28850F9D" w14:textId="77777777" w:rsidR="001B1E48" w:rsidRPr="000F33EB"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expanding the export orientation of SMEs through trade finance instruments, cost reimbursement and development of export infrastructure;</w:t>
      </w:r>
    </w:p>
    <w:p w14:paraId="13B4CA10" w14:textId="77777777" w:rsidR="004437EC" w:rsidRPr="000F33EB"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Digitalization and increased transparency of the support system, including the introduction of digital business maps, automated monitoring, and increased accessibility of information for entrepreneurs.</w:t>
      </w:r>
    </w:p>
    <w:p w14:paraId="19B87AFE" w14:textId="77777777" w:rsidR="004437EC" w:rsidRPr="001B1E48" w:rsidRDefault="004437EC" w:rsidP="0064244C">
      <w:pPr>
        <w:pStyle w:val="af1"/>
        <w:tabs>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The implementation of these factors is aimed at creating an effective and competitive SME ecosystem and increasing its contribution to the country's sustainable economic development.</w:t>
      </w:r>
    </w:p>
    <w:p w14:paraId="55531812" w14:textId="4905208D" w:rsidR="00014C1A" w:rsidRPr="00716E22"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716E22">
        <w:rPr>
          <w:rFonts w:ascii="Times New Roman" w:hAnsi="Times New Roman"/>
          <w:sz w:val="24"/>
          <w:szCs w:val="24"/>
        </w:rPr>
        <w:t xml:space="preserve">For the further development of the economy, one of the important priorities is the task of developing the MSME sector as the main </w:t>
      </w:r>
      <w:r w:rsidR="00AB68BA" w:rsidRPr="00716E22">
        <w:rPr>
          <w:rFonts w:ascii="Times New Roman" w:hAnsi="Times New Roman"/>
          <w:sz w:val="24"/>
          <w:szCs w:val="24"/>
        </w:rPr>
        <w:t>"</w:t>
      </w:r>
      <w:r w:rsidRPr="00716E22">
        <w:rPr>
          <w:rFonts w:ascii="Times New Roman" w:hAnsi="Times New Roman"/>
          <w:sz w:val="24"/>
          <w:szCs w:val="24"/>
        </w:rPr>
        <w:t>engine</w:t>
      </w:r>
      <w:r w:rsidR="00AB68BA" w:rsidRPr="00716E22">
        <w:rPr>
          <w:rFonts w:ascii="Times New Roman" w:hAnsi="Times New Roman"/>
          <w:sz w:val="24"/>
          <w:szCs w:val="24"/>
        </w:rPr>
        <w:t>"</w:t>
      </w:r>
      <w:r w:rsidRPr="00716E22">
        <w:rPr>
          <w:rFonts w:ascii="Times New Roman" w:hAnsi="Times New Roman"/>
          <w:sz w:val="24"/>
          <w:szCs w:val="24"/>
        </w:rPr>
        <w:t xml:space="preserve"> of economic growth, including through the development of modern business competencies (increasing the share of small and medium-sized businesses in GDP to 50% by 2050).</w:t>
      </w:r>
    </w:p>
    <w:p w14:paraId="6FCF5469" w14:textId="77777777" w:rsidR="007A4DBD" w:rsidRPr="00716E22" w:rsidRDefault="007A4DB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716E22">
        <w:rPr>
          <w:rFonts w:ascii="Times New Roman" w:hAnsi="Times New Roman"/>
          <w:sz w:val="24"/>
          <w:szCs w:val="24"/>
        </w:rPr>
        <w:t>At the expanded meeting chaired by Head of State Kassym-Jomart Tokayev on April 19, 2023, on the country's socioeconomic development, one of the key structural objectives was identified as building an effective "economic lift" for entrepreneurs, with the promotion of the most successful and honest entrepreneurs at the regional level essential. They should become the driving forces behind the development of a new, equitable economy.</w:t>
      </w:r>
    </w:p>
    <w:p w14:paraId="7FE6333B" w14:textId="77777777" w:rsidR="001B1E48" w:rsidRPr="001B1E48" w:rsidRDefault="001B1E4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 xml:space="preserve">The state provides support to micro, small, and medium-sized businesses, including through the Damu Fund's support instruments: conditional placement of funds in commercial banks, microfinance organizations, and credit unions, subsidizing loan interest rates, and guaranteeing entrepreneurs' liabilities. The Fund also utilizes apex mechanisms, whereby it acts as a managing institution, accumulating and redistributing resources from external sources to end borrowers through financial intermediaries, subject to established conditions. Additional sources of financing, including those from international financial institutions, are also attracted. The Fund actively digitalizes business processes, supports entrepreneurial projects, and develops international cooperation and information activities. By subsidizing loan interest rates and guaranteeing entrepreneurs' liabilities, the state </w:t>
      </w:r>
      <w:r w:rsidRPr="001B1E48">
        <w:rPr>
          <w:rFonts w:ascii="Times New Roman" w:hAnsi="Times New Roman"/>
          <w:sz w:val="24"/>
          <w:szCs w:val="24"/>
        </w:rPr>
        <w:lastRenderedPageBreak/>
        <w:t>facilitates the establishment of sustainable and profitable development trajectories for enterprises. Enterprises that receive state support through the Damu Fund, in turn, contribute to the preservation and creation of jobs, increased tax revenues, and improved economic efficiency of government programs.</w:t>
      </w:r>
    </w:p>
    <w:p w14:paraId="3D485EA3" w14:textId="77777777" w:rsidR="004437EC" w:rsidRPr="001B1E48" w:rsidRDefault="004437EC"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27-1. Given that marginality in sectors where micro- and small businesses are established and developing often only slightly exceeds lending rates, the potential for scaling businesses through debt financing remains limited. In this regard, the Damu Fund will continue to implement MSME support programs, providing access to financing through conditional placement of funds, interest rate subsidies (with a gradual reduction in the subsidy amount), guarantees for liabilities, and the use of apex funding models. At the same time, as part of the implementation of the Head of State's instructions of January 28, 2025, the use of guarantee instruments as more sustainable and market-based forms of support will be expanded, with a gradual reduction in the share of non-market mechanisms, including subsidies, in the structure of state support measures.</w:t>
      </w:r>
    </w:p>
    <w:p w14:paraId="1C6364F7" w14:textId="790154EF" w:rsidR="004437EC" w:rsidRPr="001B1E48" w:rsidRDefault="004437EC"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 xml:space="preserve">27-2. In accordance with the Instruction of the Government of the Republic of Kazakhstan dated March 4, 2025, the capitalization of JSC National Management Holding Baiterek in the amount of 1 trillion tenge is planned for 2025, including a subsequent increase in the authorized capital of JSC </w:t>
      </w:r>
      <w:r w:rsidR="00BA2B5C" w:rsidRPr="001B1E48">
        <w:rPr>
          <w:rFonts w:ascii="Times New Roman" w:hAnsi="Times New Roman"/>
          <w:sz w:val="24"/>
          <w:szCs w:val="24"/>
        </w:rPr>
        <w:t xml:space="preserve">Damu </w:t>
      </w:r>
      <w:r w:rsidRPr="001B1E48">
        <w:rPr>
          <w:rFonts w:ascii="Times New Roman" w:hAnsi="Times New Roman"/>
          <w:sz w:val="24"/>
          <w:szCs w:val="24"/>
        </w:rPr>
        <w:t>Entrepreneurship Development Fund by 300 billion tenge. The funds will be used to support SMEs in priority sectors: manufacturing, tourism, medicine, transport and logistics, warehousing, processing of agricultural products, and education – through mechanisms for conditional placement of funds in second-tier banks. When providing support, it is envisaged to introduce mechanisms for reciprocal obligations on the part of recipients to improve their socio-economic efficiency. In accordance with the Concept for the Development of the Manufacturing Industry of the Republic of Kazakhstan for 2023–2029, projects will be selected based on the criteria of increased labor productivity, modernization and expansion of production, and implementation efficiency. As part of the Head of State's directive, measures will also be taken to: encourage large enterprises to collaborate with SMEs in supply chains; actively work with regions to develop SMEs; create a guarantee fund based on the Damu Fund as the country's main guarantee operator; expand the share of guarantees in total state support; stimulate the transition of SMEs to the category of medium-sized businesses; and support effective projects focused on import substitution and exports.</w:t>
      </w:r>
    </w:p>
    <w:p w14:paraId="2C2511BA" w14:textId="77777777" w:rsidR="001B1E48" w:rsidRDefault="001B1E48"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27-3. As part of the implementation of state policy for the development of the agro-industrial complex and in accordance with the objectives outlined in the Concept for the Development of the Agro-Industrial Complex of the Republic of Kazakhstan for 2021–2030, the Fund will continue to support businesses implementing projects in the agro-industrial sector. Support will be provided through guarantees for projects aimed at the production and processing of agricultural products, fish farming, food production, the implementation of irrigation systems, indoor vegetable cultivation, the development of production and marketing infrastructure, and forage production. Financing will also be provided for working capital, including for spring sowing and harvesting, using a portfolio-based model for reviewing guarantee applications.</w:t>
      </w:r>
    </w:p>
    <w:p w14:paraId="2525D6AD" w14:textId="77777777" w:rsidR="007D553E" w:rsidRDefault="007D553E" w:rsidP="007D553E">
      <w:pPr>
        <w:pStyle w:val="af1"/>
        <w:tabs>
          <w:tab w:val="left" w:pos="567"/>
          <w:tab w:val="left" w:pos="709"/>
          <w:tab w:val="left" w:pos="851"/>
        </w:tabs>
        <w:spacing w:after="0" w:line="240" w:lineRule="auto"/>
        <w:ind w:left="426"/>
        <w:jc w:val="both"/>
        <w:rPr>
          <w:rFonts w:ascii="Times New Roman" w:hAnsi="Times New Roman"/>
          <w:i/>
          <w:sz w:val="24"/>
          <w:szCs w:val="24"/>
          <w:highlight w:val="yellow"/>
        </w:rPr>
      </w:pPr>
    </w:p>
    <w:p w14:paraId="37A976FA"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i/>
          <w:sz w:val="24"/>
          <w:szCs w:val="24"/>
        </w:rPr>
      </w:pPr>
      <w:r w:rsidRPr="007D553E">
        <w:rPr>
          <w:rFonts w:ascii="Times New Roman" w:hAnsi="Times New Roman"/>
          <w:i/>
          <w:sz w:val="24"/>
          <w:szCs w:val="24"/>
        </w:rPr>
        <w:t>Gradual transition from subsidies to guarantee instruments</w:t>
      </w:r>
    </w:p>
    <w:p w14:paraId="7B461D46"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27-4. In order to implement clause 3.9.3 of the minutes of the meeting with the participation of the President of the Republic of Kazakhstan following the meeting with representatives of domestic business dated September 12, 2023 No. 23-01-13.4 regarding the revision of the system of state support measures with ensuring a phased transition from non-market mechanisms, including subsidies to guarantees, as well as the implementation of the instruction of the Head of State, voiced on January 28, 2025 during the extended meeting of the Government of the Republic of Kazakhstan regarding the creation of a guarantee fund based on the Damu Fund, Resolution of the Government of the Republic of Kazakhstan dated June 2, 2025 No. 400 approved amendments to Resolution of the Government of the Republic of Kazakhstan No. 754 "On certain measures of state support for private entrepreneurship" dated September 17, 2024 (Program).</w:t>
      </w:r>
      <w:bookmarkStart w:id="8" w:name="_Hlk201573425"/>
      <w:bookmarkEnd w:id="8"/>
    </w:p>
    <w:p w14:paraId="4BDDF912"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lastRenderedPageBreak/>
        <w:t>As part of the adopted changes, six areas of the Program (formerly the Unified Comprehensive Program) were revised by creating a portfolio subsidy instrument and a guarantee instrument through guarantee fund mechanisms.</w:t>
      </w:r>
    </w:p>
    <w:p w14:paraId="1DA8FDEF"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Within the framework of the subsidy instrument, the maximum loan amount subject to subsidy has been reduced, and the subsidy period has also been shortened.</w:t>
      </w:r>
    </w:p>
    <w:p w14:paraId="77227DDB"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The subsidy instrument also gradually reduced the list of economic activities eligible for subsidies in the service sector, while strengthening state support for the manufacturing industry as a priority sector, with the aim of diversifying the economy, increasing the rate of growth of production volumes, reducing the cost of production, and, in other words, developing and operating the manufacturing industry.</w:t>
      </w:r>
    </w:p>
    <w:p w14:paraId="01433811" w14:textId="77777777" w:rsidR="007D553E" w:rsidRPr="000F33EB" w:rsidRDefault="007D553E" w:rsidP="0064244C">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Within the framework of the guarantee instrument, two guarantee funds have been created:</w:t>
      </w:r>
    </w:p>
    <w:p w14:paraId="0ACAA13F" w14:textId="77777777" w:rsidR="00FA4B42" w:rsidRPr="000F33EB" w:rsidRDefault="007D553E" w:rsidP="00FA4B42">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Guarantee Fund 1, with a financing amount of up to 7 billion tenge per project under the guarantee. Industry affiliation includes priority sectors as defined by the guarantee rules. However, to encourage banks to lend to the economy, the option to provide guarantees for non-priority sectors is provided.</w:t>
      </w:r>
    </w:p>
    <w:p w14:paraId="1A98A2CA" w14:textId="77777777" w:rsidR="007D553E" w:rsidRPr="000F33EB" w:rsidRDefault="007D553E" w:rsidP="00FA4B42">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The capital of Guarantee Fund 1 is also formed from funds from the republican budget, local budgets, the Damu Fund’s own capital, contributions from second-tier banks and other legal entities.</w:t>
      </w:r>
    </w:p>
    <w:p w14:paraId="6CA9E780" w14:textId="77777777" w:rsidR="00CC4006" w:rsidRPr="000F33EB" w:rsidRDefault="007D553E" w:rsidP="00CC4006">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Guarantee fund 2 with a funding amount under the project for which the guarantee is provided exceeding 7 billion tenge.</w:t>
      </w:r>
    </w:p>
    <w:p w14:paraId="4D22FFF7" w14:textId="77777777" w:rsidR="00CC4006" w:rsidRPr="000F33EB" w:rsidRDefault="00CC4006" w:rsidP="00CC4006">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Industry affiliation - branches of the manufacturing industry, the mining industry subject to further processing of extracted/mined materials, the agro-industrial complex, the creation and/or development of infrastructure facilities in the sectors of energy, communications, transport, tourism, healthcare and education, as well as the corresponding infrastructure.</w:t>
      </w:r>
    </w:p>
    <w:p w14:paraId="52C27C86" w14:textId="77777777" w:rsidR="007D553E" w:rsidRPr="000F33EB" w:rsidRDefault="007D553E" w:rsidP="00CC4006">
      <w:pPr>
        <w:pStyle w:val="af1"/>
        <w:tabs>
          <w:tab w:val="left" w:pos="0"/>
        </w:tabs>
        <w:spacing w:after="0" w:line="240" w:lineRule="auto"/>
        <w:ind w:left="0" w:firstLine="567"/>
        <w:jc w:val="both"/>
        <w:rPr>
          <w:rFonts w:ascii="Times New Roman" w:hAnsi="Times New Roman"/>
          <w:sz w:val="24"/>
          <w:szCs w:val="24"/>
          <w:lang w:val="en-US"/>
        </w:rPr>
      </w:pPr>
      <w:r w:rsidRPr="000F33EB">
        <w:rPr>
          <w:rFonts w:ascii="Times New Roman" w:hAnsi="Times New Roman"/>
          <w:sz w:val="24"/>
          <w:szCs w:val="24"/>
          <w:lang w:val="en-US"/>
        </w:rPr>
        <w:t>The capital of the Guarantee Fund 2 is formed from the funds of the sole shareholder of the Damu Fund and the republican budget on an annual basis.</w:t>
      </w:r>
    </w:p>
    <w:p w14:paraId="0A2FF9B3" w14:textId="77777777" w:rsidR="007D553E" w:rsidRPr="00CD5E54" w:rsidRDefault="007D553E" w:rsidP="0064244C">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Thus, simplifying access for private business entities to credit and other financial resources when collateral is insufficient, as well as developing a system of guarantees for the obligations of private business entities, will ensure wider coverage of business entities in need of financial support by increasing the volume of lending to the economy.</w:t>
      </w:r>
    </w:p>
    <w:p w14:paraId="6D8AF369" w14:textId="77777777" w:rsidR="007D553E" w:rsidRDefault="007D553E" w:rsidP="0064244C">
      <w:pPr>
        <w:pStyle w:val="af1"/>
        <w:tabs>
          <w:tab w:val="left" w:pos="0"/>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Taking into account the above, work to reduce the state's share of participation in the economy and move away from non-market lending conditions is being carried out gradually.</w:t>
      </w:r>
    </w:p>
    <w:p w14:paraId="06A8E382" w14:textId="77777777" w:rsidR="00EB5987" w:rsidRDefault="00EB5987" w:rsidP="0064244C">
      <w:pPr>
        <w:pStyle w:val="af1"/>
        <w:tabs>
          <w:tab w:val="left" w:pos="0"/>
        </w:tabs>
        <w:spacing w:after="0" w:line="240" w:lineRule="auto"/>
        <w:ind w:left="0" w:firstLine="567"/>
        <w:jc w:val="both"/>
        <w:rPr>
          <w:rFonts w:ascii="Times New Roman" w:hAnsi="Times New Roman"/>
          <w:sz w:val="24"/>
          <w:szCs w:val="24"/>
        </w:rPr>
      </w:pPr>
    </w:p>
    <w:p w14:paraId="182C95F8" w14:textId="77777777" w:rsidR="00EB5987" w:rsidRDefault="00EB5987" w:rsidP="00EB5987">
      <w:pPr>
        <w:pStyle w:val="af1"/>
        <w:tabs>
          <w:tab w:val="left" w:pos="0"/>
          <w:tab w:val="left" w:pos="709"/>
          <w:tab w:val="left" w:pos="851"/>
        </w:tabs>
        <w:spacing w:after="0" w:line="240" w:lineRule="auto"/>
        <w:ind w:left="0" w:firstLine="567"/>
        <w:jc w:val="both"/>
        <w:rPr>
          <w:rFonts w:ascii="Times New Roman" w:hAnsi="Times New Roman"/>
          <w:bCs/>
          <w:i/>
          <w:sz w:val="24"/>
          <w:szCs w:val="24"/>
        </w:rPr>
      </w:pPr>
      <w:r w:rsidRPr="00EB5987">
        <w:rPr>
          <w:rFonts w:ascii="Times New Roman" w:hAnsi="Times New Roman"/>
          <w:bCs/>
          <w:i/>
          <w:sz w:val="24"/>
          <w:szCs w:val="24"/>
        </w:rPr>
        <w:t>Conditional placement program "Orleu"</w:t>
      </w:r>
    </w:p>
    <w:p w14:paraId="0182173A" w14:textId="77777777" w:rsidR="00B35F33" w:rsidRPr="00CD5E54" w:rsidRDefault="00B35F33" w:rsidP="00B35F33">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27-5. Since 2025, the Damu Fund has been implementing the Orleu Conditional Fund Placement Program. Financing of the conditional fund placement program under the Program is provided through second-tier banks on a fund-mixing basis.</w:t>
      </w:r>
    </w:p>
    <w:p w14:paraId="76C1AE29" w14:textId="77777777" w:rsidR="00B35F33" w:rsidRPr="00CD5E54" w:rsidRDefault="00B35F33" w:rsidP="00B35F33">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Participants in the program may be micro, small, and medium-sized private enterprises implementing or planning to implement projects in priority sectors of the economy: manufacturing, waste collection and recycling, transportation and logistics, accommodation and food services, warehousing, education, and healthcare.</w:t>
      </w:r>
    </w:p>
    <w:p w14:paraId="7F434D88" w14:textId="77777777" w:rsidR="00B35F33" w:rsidRPr="00CD5E54" w:rsidRDefault="00B35F33" w:rsidP="00B35F33">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Program's primary goal is to support domestic producers. Therefore, SME projects aimed at acquiring domestically produced investment assets are prioritized in project funding. This measure facilitates increased demand and sales of domestic products.</w:t>
      </w:r>
    </w:p>
    <w:p w14:paraId="540262B3" w14:textId="77777777" w:rsidR="00B35F33" w:rsidRPr="00CD5E54" w:rsidRDefault="00B35F33" w:rsidP="00B35F33">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Loans will be provided to entrepreneurs primarily for investment purposes, as well as for replenishing working capital and refinancing existing loans.</w:t>
      </w:r>
    </w:p>
    <w:p w14:paraId="7A915673" w14:textId="77777777" w:rsidR="00B35F33" w:rsidRPr="00CD5E54" w:rsidRDefault="00B35F33" w:rsidP="00B35F33">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Program includes the introduction of performance criteria that anticipate growth in entrepreneurs' incomes, increased tax revenues, and the creation of new jobs.</w:t>
      </w:r>
    </w:p>
    <w:p w14:paraId="220F2070" w14:textId="79A441D2" w:rsidR="00EB5987" w:rsidRDefault="004C7976" w:rsidP="00EB5987">
      <w:pPr>
        <w:pStyle w:val="af1"/>
        <w:tabs>
          <w:tab w:val="left" w:pos="0"/>
        </w:tabs>
        <w:spacing w:after="0" w:line="240" w:lineRule="auto"/>
        <w:ind w:left="0" w:firstLine="567"/>
        <w:jc w:val="both"/>
        <w:rPr>
          <w:rFonts w:ascii="Times New Roman" w:eastAsia="Aptos" w:hAnsi="Times New Roman"/>
          <w:sz w:val="24"/>
          <w:szCs w:val="24"/>
          <w:lang w:val="en-US"/>
        </w:rPr>
      </w:pPr>
      <w:r w:rsidRPr="004C7976">
        <w:rPr>
          <w:rFonts w:ascii="Times New Roman" w:eastAsia="Aptos" w:hAnsi="Times New Roman"/>
          <w:sz w:val="24"/>
          <w:szCs w:val="24"/>
          <w:lang w:val="en-US"/>
        </w:rPr>
        <w:t>The amount of funds allocated by the Damu Fund will amount to 300 billion tenge, while due to the mixing mechanism, the total amount of funds will increase to 750 billion tenge. This approach will make it possible to gradually integrate private participants into government programs and maintain a balance between control and the development of a competitive environment.</w:t>
      </w:r>
    </w:p>
    <w:p w14:paraId="559E2657" w14:textId="77777777" w:rsidR="004C7976" w:rsidRPr="00CD5E54" w:rsidRDefault="004C7976" w:rsidP="00EB5987">
      <w:pPr>
        <w:pStyle w:val="af1"/>
        <w:tabs>
          <w:tab w:val="left" w:pos="0"/>
        </w:tabs>
        <w:spacing w:after="0" w:line="240" w:lineRule="auto"/>
        <w:ind w:left="0" w:firstLine="567"/>
        <w:jc w:val="both"/>
        <w:rPr>
          <w:rFonts w:ascii="Times New Roman" w:hAnsi="Times New Roman"/>
          <w:sz w:val="24"/>
          <w:szCs w:val="24"/>
          <w:lang w:val="en-US"/>
        </w:rPr>
      </w:pPr>
    </w:p>
    <w:p w14:paraId="395C381D" w14:textId="77777777" w:rsidR="004437EC" w:rsidRPr="001B1E48" w:rsidRDefault="004437EC"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sidRPr="001B1E48">
        <w:rPr>
          <w:rFonts w:ascii="Times New Roman" w:hAnsi="Times New Roman"/>
          <w:bCs/>
          <w:i/>
          <w:sz w:val="24"/>
          <w:szCs w:val="24"/>
        </w:rPr>
        <w:lastRenderedPageBreak/>
        <w:t>Unified comprehensive program</w:t>
      </w:r>
    </w:p>
    <w:p w14:paraId="21E178B1" w14:textId="77777777" w:rsidR="004437EC" w:rsidRPr="001B1E48" w:rsidRDefault="001B1E48"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27-6. In 2024, the Damu Fund began implementing a Unified Comprehensive Program for the Support and Development of SMEs, combining the National Entrepreneurship Development Project and the Economy of Simple Things programs. This program provides six areas of state support in the form of subsidies and guarantees, depending on business category, target segments, and industry focus:</w:t>
      </w:r>
    </w:p>
    <w:p w14:paraId="61DFF511" w14:textId="34DA166A"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Micro</w:t>
      </w:r>
      <w:r w:rsidR="004C7976">
        <w:rPr>
          <w:rFonts w:ascii="Times New Roman" w:hAnsi="Times New Roman"/>
          <w:sz w:val="24"/>
          <w:szCs w:val="24"/>
          <w:lang w:val="en-US"/>
        </w:rPr>
        <w:t xml:space="preserve"> </w:t>
      </w:r>
      <w:r w:rsidRPr="001B1E48">
        <w:rPr>
          <w:rFonts w:ascii="Times New Roman" w:hAnsi="Times New Roman"/>
          <w:sz w:val="24"/>
          <w:szCs w:val="24"/>
        </w:rPr>
        <w:t>entrepreneurship;</w:t>
      </w:r>
    </w:p>
    <w:p w14:paraId="67C9740D" w14:textId="4D909F2C"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 xml:space="preserve">Small and medium-sized </w:t>
      </w:r>
      <w:r w:rsidR="004C7976" w:rsidRPr="001B1E48">
        <w:rPr>
          <w:rFonts w:ascii="Times New Roman" w:hAnsi="Times New Roman"/>
          <w:sz w:val="24"/>
          <w:szCs w:val="24"/>
        </w:rPr>
        <w:t>entrepreneurship</w:t>
      </w:r>
      <w:r w:rsidRPr="001B1E48">
        <w:rPr>
          <w:rFonts w:ascii="Times New Roman" w:hAnsi="Times New Roman"/>
          <w:sz w:val="24"/>
          <w:szCs w:val="24"/>
        </w:rPr>
        <w:t>:</w:t>
      </w:r>
    </w:p>
    <w:p w14:paraId="3675FFA0" w14:textId="214B7051"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 xml:space="preserve">Small, medium and large </w:t>
      </w:r>
      <w:r w:rsidR="004C7976" w:rsidRPr="001B1E48">
        <w:rPr>
          <w:rFonts w:ascii="Times New Roman" w:hAnsi="Times New Roman"/>
          <w:sz w:val="24"/>
          <w:szCs w:val="24"/>
        </w:rPr>
        <w:t>entrepreneurship</w:t>
      </w:r>
      <w:r w:rsidRPr="001B1E48">
        <w:rPr>
          <w:rFonts w:ascii="Times New Roman" w:hAnsi="Times New Roman"/>
          <w:sz w:val="24"/>
          <w:szCs w:val="24"/>
        </w:rPr>
        <w:t>;</w:t>
      </w:r>
    </w:p>
    <w:p w14:paraId="67DC5BFD"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Entrepreneurship in single-industry and small towns, rural settlements;</w:t>
      </w:r>
    </w:p>
    <w:p w14:paraId="0BC1E1F7"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Social entrepreneurship;</w:t>
      </w:r>
    </w:p>
    <w:p w14:paraId="2806672C"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Stock exchange.</w:t>
      </w:r>
    </w:p>
    <w:p w14:paraId="18B0BD6E" w14:textId="77777777" w:rsidR="001B1E48" w:rsidRDefault="001B1E48"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The program's primary focus is on supporting projects in the manufacturing industry, developing small and medium-sized businesses in single-industry, small towns, and rural communities, and also highlighting areas for supporting social entrepreneurship and developing the stock market.</w:t>
      </w:r>
    </w:p>
    <w:p w14:paraId="4F5FF283" w14:textId="6D1513BC" w:rsidR="004437EC" w:rsidRPr="00CD5E54" w:rsidRDefault="004437EC" w:rsidP="00DB480F">
      <w:pPr>
        <w:pStyle w:val="af1"/>
        <w:tabs>
          <w:tab w:val="left" w:pos="0"/>
          <w:tab w:val="left" w:pos="709"/>
          <w:tab w:val="left" w:pos="851"/>
        </w:tabs>
        <w:spacing w:after="0" w:line="240" w:lineRule="auto"/>
        <w:ind w:left="0" w:firstLine="567"/>
        <w:jc w:val="both"/>
        <w:rPr>
          <w:rFonts w:ascii="Times New Roman" w:hAnsi="Times New Roman"/>
          <w:sz w:val="24"/>
          <w:szCs w:val="24"/>
          <w:lang w:val="en-US"/>
        </w:rPr>
      </w:pPr>
      <w:r w:rsidRPr="001B1E48">
        <w:rPr>
          <w:rFonts w:ascii="Times New Roman" w:hAnsi="Times New Roman"/>
          <w:sz w:val="24"/>
          <w:szCs w:val="24"/>
        </w:rPr>
        <w:t xml:space="preserve">The Unified Comprehensive Program was developed by the Government of the Republic of Kazakhstan as part of the implementation of paragraph 58 of the National Action Plan for the implementation of the Address of the Head of State to the people of Kazakhstan dated September 1, 2023, </w:t>
      </w:r>
      <w:r w:rsidR="004C7976" w:rsidRPr="00CD5E54">
        <w:rPr>
          <w:rFonts w:ascii="Times New Roman" w:hAnsi="Times New Roman"/>
          <w:sz w:val="24"/>
          <w:szCs w:val="24"/>
          <w:lang w:val="en-US"/>
        </w:rPr>
        <w:t>"</w:t>
      </w:r>
      <w:r w:rsidRPr="001B1E48">
        <w:rPr>
          <w:rFonts w:ascii="Times New Roman" w:hAnsi="Times New Roman"/>
          <w:sz w:val="24"/>
          <w:szCs w:val="24"/>
        </w:rPr>
        <w:t xml:space="preserve">The Economic Course </w:t>
      </w:r>
      <w:r w:rsidR="00AB68BA">
        <w:rPr>
          <w:rFonts w:ascii="Times New Roman" w:hAnsi="Times New Roman"/>
          <w:sz w:val="24"/>
          <w:szCs w:val="24"/>
          <w:lang w:val="en-US"/>
        </w:rPr>
        <w:t>of</w:t>
      </w:r>
      <w:r w:rsidRPr="001B1E48">
        <w:rPr>
          <w:rFonts w:ascii="Times New Roman" w:hAnsi="Times New Roman"/>
          <w:sz w:val="24"/>
          <w:szCs w:val="24"/>
        </w:rPr>
        <w:t xml:space="preserve"> a Fair Kazakhstan</w:t>
      </w:r>
      <w:r w:rsidR="004C7976" w:rsidRPr="00CD5E54">
        <w:rPr>
          <w:rFonts w:ascii="Times New Roman" w:hAnsi="Times New Roman"/>
          <w:sz w:val="24"/>
          <w:szCs w:val="24"/>
          <w:lang w:val="en-US"/>
        </w:rPr>
        <w:t>"</w:t>
      </w:r>
      <w:r w:rsidRPr="001B1E48">
        <w:rPr>
          <w:rFonts w:ascii="Times New Roman" w:hAnsi="Times New Roman"/>
          <w:sz w:val="24"/>
          <w:szCs w:val="24"/>
        </w:rPr>
        <w:t xml:space="preserve"> and expired in June 2025.</w:t>
      </w:r>
    </w:p>
    <w:p w14:paraId="2EE7655B" w14:textId="77777777" w:rsidR="004437EC" w:rsidRPr="00CD5E54" w:rsidRDefault="004437EC" w:rsidP="005A37C3">
      <w:pPr>
        <w:pStyle w:val="af1"/>
        <w:tabs>
          <w:tab w:val="left" w:pos="567"/>
          <w:tab w:val="left" w:pos="709"/>
          <w:tab w:val="left" w:pos="851"/>
        </w:tabs>
        <w:spacing w:after="0" w:line="240" w:lineRule="auto"/>
        <w:ind w:left="426"/>
        <w:jc w:val="both"/>
        <w:rPr>
          <w:rFonts w:ascii="Times New Roman" w:hAnsi="Times New Roman"/>
          <w:i/>
          <w:sz w:val="24"/>
          <w:szCs w:val="24"/>
          <w:lang w:val="en-US"/>
        </w:rPr>
      </w:pPr>
    </w:p>
    <w:p w14:paraId="7E281EC2" w14:textId="650329F3" w:rsidR="004272F8" w:rsidRPr="004437EC" w:rsidRDefault="00EE4276" w:rsidP="00DB480F">
      <w:pPr>
        <w:pStyle w:val="af1"/>
        <w:tabs>
          <w:tab w:val="left" w:pos="0"/>
          <w:tab w:val="left" w:pos="709"/>
          <w:tab w:val="left" w:pos="851"/>
        </w:tabs>
        <w:spacing w:after="0" w:line="240" w:lineRule="auto"/>
        <w:ind w:left="0" w:firstLine="567"/>
        <w:jc w:val="both"/>
        <w:rPr>
          <w:rFonts w:ascii="Times New Roman" w:hAnsi="Times New Roman"/>
          <w:i/>
          <w:sz w:val="24"/>
          <w:szCs w:val="24"/>
          <w:lang w:val="ru-RU"/>
        </w:rPr>
      </w:pPr>
      <w:r>
        <w:rPr>
          <w:rFonts w:ascii="Times New Roman" w:hAnsi="Times New Roman"/>
          <w:i/>
          <w:sz w:val="24"/>
          <w:szCs w:val="24"/>
          <w:lang w:val="en-US"/>
        </w:rPr>
        <w:t>BR</w:t>
      </w:r>
      <w:r w:rsidR="004272F8" w:rsidRPr="004437EC">
        <w:rPr>
          <w:rFonts w:ascii="Times New Roman" w:hAnsi="Times New Roman"/>
          <w:i/>
          <w:sz w:val="24"/>
          <w:szCs w:val="24"/>
          <w:lang w:val="ru-RU"/>
        </w:rPr>
        <w:t>-2025 Program</w:t>
      </w:r>
    </w:p>
    <w:p w14:paraId="6430FC59" w14:textId="4C4C4771" w:rsidR="00014C1A" w:rsidRPr="00CD5E54" w:rsidRDefault="00EE4276"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EE4276">
        <w:rPr>
          <w:rFonts w:ascii="Times New Roman" w:hAnsi="Times New Roman"/>
          <w:sz w:val="24"/>
          <w:szCs w:val="24"/>
          <w:lang w:val="en-US"/>
        </w:rPr>
        <w:t>Until February 02, 2022, one of the important tools for comprehensive support of entrepreneurship in Kazakhstan and its regions was the BR-2025 Program. This program was aimed at achieving the goal of the messages of the President of the Republic of Kazakhstan to the people of Kazakhstan "Strategy" Kazakhstan-2050 ": a new political course of the state held" of December 14, 2012 and "Kazakhstan Way-2050: A single goal, common interests, a common future" of January 17, 2014 and provided for the improvement of financial support instruments and the extension of the BR-2020 Program until 2025</w:t>
      </w:r>
      <w:r w:rsidR="00003B0B" w:rsidRPr="00CD5E54">
        <w:rPr>
          <w:rFonts w:ascii="Times New Roman" w:hAnsi="Times New Roman"/>
          <w:sz w:val="24"/>
          <w:szCs w:val="24"/>
          <w:lang w:val="en-US"/>
        </w:rPr>
        <w:t>.</w:t>
      </w:r>
    </w:p>
    <w:p w14:paraId="464DD68C" w14:textId="19C4920E" w:rsidR="005B28B4" w:rsidRPr="00CD5E54" w:rsidRDefault="008C7982"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8C7982">
        <w:rPr>
          <w:rFonts w:ascii="Times New Roman" w:hAnsi="Times New Roman"/>
          <w:sz w:val="24"/>
          <w:szCs w:val="24"/>
          <w:lang w:val="en-US"/>
        </w:rPr>
        <w:t>Thanks to the launch of the BR-2020 Program in 2010, the range of tools to support entrepreneurship through the Damu Fund has expanded significantly. In particular, we started subsidizing interest rates on loans to MSMEs, guaranteed the obligations of MSMEs, and launched a large-scale implementation of training and consulting support programs for MSMEs, which made it possible to significantly increase the Fund's client base as a financial agent and operator of the BR-2020/BR-2025 Program</w:t>
      </w:r>
      <w:r w:rsidR="005B28B4" w:rsidRPr="00CD5E54">
        <w:rPr>
          <w:rFonts w:ascii="Times New Roman" w:hAnsi="Times New Roman"/>
          <w:sz w:val="24"/>
          <w:szCs w:val="24"/>
          <w:lang w:val="en-US"/>
        </w:rPr>
        <w:t>.</w:t>
      </w:r>
      <w:r w:rsidR="0067604E" w:rsidRPr="001F748C">
        <w:tab/>
      </w:r>
    </w:p>
    <w:p w14:paraId="332C8822" w14:textId="1333220D" w:rsidR="00175063" w:rsidRPr="00CD5E54" w:rsidRDefault="008C7982"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8C7982">
        <w:rPr>
          <w:rFonts w:ascii="Times New Roman" w:hAnsi="Times New Roman"/>
          <w:sz w:val="24"/>
          <w:szCs w:val="24"/>
          <w:lang w:val="en-US"/>
        </w:rPr>
        <w:t>Since the implementation of the BR-2025 Program, it can be stated that the BR-2025 Program has taken place. The program has gained considerable popularity among entrepreneurs, the mechanisms of interaction between state bodies and STBs have been worked out, and today we can talk about the implementation of a number of target indicators of the program</w:t>
      </w:r>
      <w:r w:rsidR="00175063" w:rsidRPr="00CD5E54">
        <w:rPr>
          <w:rFonts w:ascii="Times New Roman" w:hAnsi="Times New Roman"/>
          <w:sz w:val="24"/>
          <w:szCs w:val="24"/>
          <w:lang w:val="en-US"/>
        </w:rPr>
        <w:t>.</w:t>
      </w:r>
    </w:p>
    <w:p w14:paraId="4E6F60EF" w14:textId="77777777" w:rsidR="00175063" w:rsidRPr="001F748C" w:rsidRDefault="00175063" w:rsidP="00467F74">
      <w:pPr>
        <w:pStyle w:val="af1"/>
        <w:tabs>
          <w:tab w:val="left" w:pos="567"/>
          <w:tab w:val="left" w:pos="709"/>
          <w:tab w:val="left" w:pos="851"/>
          <w:tab w:val="left" w:pos="993"/>
        </w:tabs>
        <w:spacing w:after="0" w:line="240" w:lineRule="auto"/>
        <w:ind w:left="426"/>
        <w:jc w:val="both"/>
      </w:pPr>
    </w:p>
    <w:p w14:paraId="21E68FD6" w14:textId="77777777" w:rsidR="00175063" w:rsidRPr="001F748C" w:rsidRDefault="00175063" w:rsidP="00DB480F">
      <w:pPr>
        <w:pStyle w:val="af1"/>
        <w:tabs>
          <w:tab w:val="left" w:pos="0"/>
          <w:tab w:val="left" w:pos="709"/>
          <w:tab w:val="left" w:pos="851"/>
          <w:tab w:val="left" w:pos="993"/>
        </w:tabs>
        <w:spacing w:after="0" w:line="240" w:lineRule="auto"/>
        <w:ind w:left="0" w:firstLine="567"/>
        <w:jc w:val="both"/>
        <w:rPr>
          <w:i/>
          <w:sz w:val="24"/>
          <w:szCs w:val="24"/>
        </w:rPr>
      </w:pPr>
      <w:r w:rsidRPr="001F748C">
        <w:rPr>
          <w:rStyle w:val="s0"/>
          <w:i/>
          <w:color w:val="auto"/>
          <w:sz w:val="24"/>
          <w:szCs w:val="24"/>
        </w:rPr>
        <w:t>National Project for Entrepreneurship Development for 2021-2025</w:t>
      </w:r>
    </w:p>
    <w:p w14:paraId="2528C482" w14:textId="551D9161" w:rsidR="007A303B" w:rsidRPr="00CD5E54" w:rsidRDefault="007A303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By Resolution No. 728 of the Government of the Republic of Kazakhstan dated October 12, 2021, the National Project for Entrepreneurship Development for 2021-2025 was approved. Within this framework, by Resolution No. 43 of the Government of the Republic of Kazakhstan dated February 2, 2022, the rules for subsidizing interest rates and guarantees were amended. This Resolution repeals the "</w:t>
      </w:r>
      <w:r w:rsidR="003725C2">
        <w:rPr>
          <w:rFonts w:ascii="Times New Roman" w:hAnsi="Times New Roman"/>
          <w:sz w:val="24"/>
          <w:szCs w:val="24"/>
          <w:lang w:val="en-US"/>
        </w:rPr>
        <w:t>BR</w:t>
      </w:r>
      <w:r w:rsidRPr="00CD5E54">
        <w:rPr>
          <w:rFonts w:ascii="Times New Roman" w:hAnsi="Times New Roman"/>
          <w:sz w:val="24"/>
          <w:szCs w:val="24"/>
          <w:lang w:val="en-US"/>
        </w:rPr>
        <w:t>-2025" Program, approved by Resolution No. 968 of the Government of the Republic of Kazakhstan dated December 24, 2019.</w:t>
      </w:r>
    </w:p>
    <w:p w14:paraId="280778CF" w14:textId="77777777" w:rsidR="002F7E9D" w:rsidRPr="00CD5E54" w:rsidRDefault="002F7E9D"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Changes and additions to the terms of subsidies and guarantees were aimed at stimulating MSMEs to maintain existing and create new permanent jobs, increase the level of production of domestic enterprises, and ensure greater access to financing.</w:t>
      </w:r>
    </w:p>
    <w:p w14:paraId="41B25EE9" w14:textId="77777777" w:rsidR="00175063" w:rsidRPr="00CD5E54" w:rsidRDefault="00A11FBC"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is the financial agent of the National Project and provides support to MSMEs by subsidizing interest rates on loans/microloans/leasing transactions/subsidizing the coupon rate on bonds and guaranteeing obligations within the framework of two tasks:</w:t>
      </w:r>
    </w:p>
    <w:p w14:paraId="72EFF5F2" w14:textId="77777777" w:rsidR="00175063" w:rsidRPr="00CD5E54" w:rsidRDefault="00175063" w:rsidP="00DB480F">
      <w:pPr>
        <w:pStyle w:val="pj"/>
        <w:tabs>
          <w:tab w:val="left" w:pos="0"/>
          <w:tab w:val="left" w:pos="993"/>
        </w:tabs>
        <w:ind w:firstLine="567"/>
        <w:rPr>
          <w:color w:val="auto"/>
          <w:lang w:val="en-US"/>
        </w:rPr>
      </w:pPr>
      <w:r w:rsidRPr="00CD5E54">
        <w:rPr>
          <w:rStyle w:val="s0"/>
          <w:color w:val="auto"/>
          <w:lang w:val="en-US"/>
        </w:rPr>
        <w:t>1) increasing the availability of financing for business entities;</w:t>
      </w:r>
    </w:p>
    <w:p w14:paraId="7ABB34EE" w14:textId="6A5F1758" w:rsidR="00175063" w:rsidRPr="00CD5E54" w:rsidRDefault="00175063" w:rsidP="00DB480F">
      <w:pPr>
        <w:pStyle w:val="pj"/>
        <w:tabs>
          <w:tab w:val="left" w:pos="0"/>
          <w:tab w:val="left" w:pos="993"/>
        </w:tabs>
        <w:ind w:firstLine="567"/>
        <w:rPr>
          <w:rStyle w:val="s0"/>
          <w:color w:val="auto"/>
          <w:lang w:val="en-US"/>
        </w:rPr>
      </w:pPr>
      <w:r w:rsidRPr="00CD5E54">
        <w:rPr>
          <w:rStyle w:val="s0"/>
          <w:color w:val="auto"/>
          <w:lang w:val="en-US"/>
        </w:rPr>
        <w:lastRenderedPageBreak/>
        <w:t>2) creating conditions for opening and developing own business.</w:t>
      </w:r>
    </w:p>
    <w:p w14:paraId="7AEA7D94" w14:textId="77777777" w:rsidR="00014C1A" w:rsidRPr="00CD5E54"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All support measures within the National Project are divided into areas depending on target segments and support measures:</w:t>
      </w:r>
    </w:p>
    <w:p w14:paraId="10E07EFE" w14:textId="77777777" w:rsidR="00D22943" w:rsidRPr="001F748C" w:rsidRDefault="004B2088" w:rsidP="00DB480F">
      <w:pPr>
        <w:pStyle w:val="af1"/>
        <w:numPr>
          <w:ilvl w:val="0"/>
          <w:numId w:val="1"/>
        </w:numPr>
        <w:tabs>
          <w:tab w:val="left" w:pos="0"/>
          <w:tab w:val="left" w:pos="993"/>
        </w:tabs>
        <w:spacing w:after="120" w:line="240" w:lineRule="auto"/>
        <w:ind w:left="0" w:firstLine="567"/>
        <w:jc w:val="both"/>
        <w:rPr>
          <w:iCs/>
        </w:rPr>
      </w:pPr>
      <w:r w:rsidRPr="00CD5E54">
        <w:rPr>
          <w:rFonts w:ascii="Times New Roman" w:hAnsi="Times New Roman"/>
          <w:iCs/>
          <w:sz w:val="24"/>
          <w:szCs w:val="24"/>
          <w:lang w:val="en-US"/>
        </w:rPr>
        <w:t>support for micro and small businesses;</w:t>
      </w:r>
    </w:p>
    <w:p w14:paraId="0F74A33A" w14:textId="77777777" w:rsidR="00DE6087" w:rsidRPr="001F748C" w:rsidRDefault="004B2088" w:rsidP="00DB480F">
      <w:pPr>
        <w:pStyle w:val="af1"/>
        <w:numPr>
          <w:ilvl w:val="0"/>
          <w:numId w:val="1"/>
        </w:numPr>
        <w:tabs>
          <w:tab w:val="left" w:pos="0"/>
          <w:tab w:val="left" w:pos="993"/>
        </w:tabs>
        <w:spacing w:after="120" w:line="240" w:lineRule="auto"/>
        <w:ind w:left="0" w:firstLine="567"/>
        <w:jc w:val="both"/>
      </w:pPr>
      <w:r w:rsidRPr="00CD5E54">
        <w:rPr>
          <w:rFonts w:ascii="Times New Roman" w:hAnsi="Times New Roman"/>
          <w:iCs/>
          <w:sz w:val="24"/>
          <w:szCs w:val="24"/>
          <w:lang w:val="en-US"/>
        </w:rPr>
        <w:t>support for entrepreneurs/entities engaged in industrial and innovative activities;</w:t>
      </w:r>
    </w:p>
    <w:p w14:paraId="08A6B074" w14:textId="77777777" w:rsidR="00C95EDB" w:rsidRPr="001F748C" w:rsidRDefault="004B2088" w:rsidP="00DB480F">
      <w:pPr>
        <w:pStyle w:val="af1"/>
        <w:numPr>
          <w:ilvl w:val="0"/>
          <w:numId w:val="1"/>
        </w:numPr>
        <w:tabs>
          <w:tab w:val="left" w:pos="0"/>
          <w:tab w:val="left" w:pos="993"/>
        </w:tabs>
        <w:spacing w:after="0" w:line="240" w:lineRule="auto"/>
        <w:ind w:left="0" w:firstLine="567"/>
        <w:jc w:val="both"/>
        <w:rPr>
          <w:rFonts w:ascii="Times New Roman" w:hAnsi="Times New Roman"/>
          <w:iCs/>
          <w:sz w:val="24"/>
          <w:szCs w:val="24"/>
        </w:rPr>
      </w:pPr>
      <w:r w:rsidRPr="00CD5E54">
        <w:rPr>
          <w:rFonts w:ascii="Times New Roman" w:hAnsi="Times New Roman"/>
          <w:iCs/>
          <w:sz w:val="24"/>
          <w:szCs w:val="24"/>
          <w:lang w:val="en-US"/>
        </w:rPr>
        <w:t>regional program to support small and medium-sized businesses</w:t>
      </w:r>
      <w:r w:rsidRPr="00CD5E54">
        <w:rPr>
          <w:rFonts w:ascii="Times New Roman" w:hAnsi="Times New Roman"/>
          <w:sz w:val="24"/>
          <w:szCs w:val="24"/>
          <w:lang w:val="en-US"/>
        </w:rPr>
        <w:t>.</w:t>
      </w:r>
    </w:p>
    <w:p w14:paraId="7DCC1772" w14:textId="77777777" w:rsidR="00C202F9" w:rsidRPr="00CD5E54" w:rsidRDefault="008C01AE"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One of the key support measures for the National Project is support provided through Kazakhstan's stock market products: subsidizing coupon rates and providing guarantees on corporate bonds issued by businesses. The main goal of this measure is to create an alternative channel for financing MSMEs using funds from private and institutional investors on the KASE and AIFC platforms, using guarantee and subsidy instruments.</w:t>
      </w:r>
    </w:p>
    <w:p w14:paraId="19AC714B" w14:textId="77777777" w:rsidR="00014C1A" w:rsidRPr="001F748C"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By becoming a participant in the National Project, entrepreneurs were given the opportunity to:</w:t>
      </w:r>
    </w:p>
    <w:p w14:paraId="07830DE9" w14:textId="77777777" w:rsidR="00014C1A" w:rsidRPr="00CD5E54" w:rsidRDefault="00003B0B" w:rsidP="00DB480F">
      <w:pPr>
        <w:tabs>
          <w:tab w:val="left" w:pos="0"/>
          <w:tab w:val="left" w:pos="993"/>
        </w:tabs>
        <w:ind w:firstLine="567"/>
        <w:jc w:val="both"/>
        <w:rPr>
          <w:color w:val="auto"/>
          <w:lang w:val="en-US"/>
        </w:rPr>
      </w:pPr>
      <w:r w:rsidRPr="00CD5E54">
        <w:rPr>
          <w:color w:val="auto"/>
          <w:lang w:val="en-US"/>
        </w:rPr>
        <w:t>1. Reduce the interest rate on your loan/microloan/financial leasing agreement using government subsidies.</w:t>
      </w:r>
    </w:p>
    <w:p w14:paraId="49B957F2" w14:textId="77777777" w:rsidR="00014C1A" w:rsidRPr="00CD5E54" w:rsidRDefault="00003B0B" w:rsidP="00DB480F">
      <w:pPr>
        <w:tabs>
          <w:tab w:val="left" w:pos="0"/>
          <w:tab w:val="left" w:pos="993"/>
        </w:tabs>
        <w:ind w:firstLine="567"/>
        <w:jc w:val="both"/>
        <w:rPr>
          <w:color w:val="auto"/>
          <w:lang w:val="en-US"/>
        </w:rPr>
      </w:pPr>
      <w:r w:rsidRPr="00CD5E54">
        <w:rPr>
          <w:color w:val="auto"/>
          <w:lang w:val="en-US"/>
        </w:rPr>
        <w:t>2. Obtain a state guarantee if the collateral is insufficient.</w:t>
      </w:r>
    </w:p>
    <w:p w14:paraId="666FB082" w14:textId="7DD455D6" w:rsidR="001166F6" w:rsidRPr="00CD5E54" w:rsidRDefault="001166F6" w:rsidP="00DB480F">
      <w:pPr>
        <w:tabs>
          <w:tab w:val="left" w:pos="0"/>
          <w:tab w:val="left" w:pos="993"/>
        </w:tabs>
        <w:ind w:firstLine="567"/>
        <w:jc w:val="both"/>
        <w:rPr>
          <w:color w:val="auto"/>
          <w:lang w:val="en-US"/>
        </w:rPr>
      </w:pPr>
      <w:r w:rsidRPr="00CD5E54">
        <w:rPr>
          <w:color w:val="auto"/>
          <w:lang w:val="en-US"/>
        </w:rPr>
        <w:t xml:space="preserve">36-1. </w:t>
      </w:r>
      <w:r w:rsidR="005F7371" w:rsidRPr="005F7371">
        <w:rPr>
          <w:color w:val="auto"/>
          <w:lang w:val="en-US"/>
        </w:rPr>
        <w:t>The national project completed its action in accordance with the Decree of the Government of the Republic of Kazakhstan dated September 22, 2023 No. 828.</w:t>
      </w:r>
    </w:p>
    <w:p w14:paraId="65D36402" w14:textId="77777777" w:rsidR="00A3076A" w:rsidRPr="00CD5E54" w:rsidRDefault="00A3076A" w:rsidP="00DB480F">
      <w:pPr>
        <w:tabs>
          <w:tab w:val="left" w:pos="0"/>
          <w:tab w:val="left" w:pos="993"/>
        </w:tabs>
        <w:ind w:firstLine="567"/>
        <w:jc w:val="both"/>
        <w:rPr>
          <w:color w:val="auto"/>
          <w:lang w:val="en-US"/>
        </w:rPr>
      </w:pPr>
    </w:p>
    <w:p w14:paraId="79B0996F" w14:textId="77777777" w:rsidR="00A3076A" w:rsidRPr="00CD5E54" w:rsidRDefault="00962326" w:rsidP="00DB480F">
      <w:pPr>
        <w:tabs>
          <w:tab w:val="left" w:pos="0"/>
          <w:tab w:val="left" w:pos="709"/>
          <w:tab w:val="left" w:pos="851"/>
          <w:tab w:val="left" w:pos="993"/>
        </w:tabs>
        <w:ind w:firstLine="567"/>
        <w:jc w:val="both"/>
        <w:rPr>
          <w:i/>
          <w:color w:val="auto"/>
          <w:lang w:val="en-US"/>
        </w:rPr>
      </w:pPr>
      <w:r w:rsidRPr="00CD5E54">
        <w:rPr>
          <w:i/>
          <w:color w:val="auto"/>
          <w:lang w:val="en-US"/>
        </w:rPr>
        <w:tab/>
      </w:r>
      <w:r w:rsidR="00D70EFE" w:rsidRPr="00CD5E54">
        <w:rPr>
          <w:i/>
          <w:color w:val="auto"/>
          <w:lang w:val="en-US"/>
        </w:rPr>
        <w:t>Mechanism for lending and financial leasing of priority projects (the economy of simple things)</w:t>
      </w:r>
    </w:p>
    <w:p w14:paraId="06FB2912" w14:textId="753B4401" w:rsidR="00441DB6" w:rsidRPr="00CD5E54" w:rsidRDefault="00743569"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743569">
        <w:rPr>
          <w:rFonts w:ascii="Times New Roman" w:hAnsi="Times New Roman"/>
          <w:sz w:val="24"/>
          <w:szCs w:val="24"/>
          <w:lang w:val="en-US"/>
        </w:rPr>
        <w:t>In order to diversify the economy, increase the growth rate of production volumes, reduce the cost of production, that is, the development and functioning of the manufacturing industry, Decree of the Government of the Republic of Kazakhstan on December 11, 2018 No. 820 implemented the Mechanism for lending and financial leasing of priority projects to ensure long-term tenge liquidity. The program is aimed at supporting private entrepreneurs operating in the manufacturing and agro-industrial sectors. The main measures of state support provided under the Mechanism are also subsidy and guarantee instruments. The program has lost force in accordance with the Decree of the Government of the Republic of Kazakhstan dated April 26, 2024 No. 336</w:t>
      </w:r>
      <w:r w:rsidR="00441DB6" w:rsidRPr="00CD5E54">
        <w:rPr>
          <w:rFonts w:ascii="Times New Roman" w:hAnsi="Times New Roman"/>
          <w:sz w:val="24"/>
          <w:szCs w:val="24"/>
          <w:lang w:val="en-US"/>
        </w:rPr>
        <w:t>.</w:t>
      </w:r>
    </w:p>
    <w:p w14:paraId="6C6340AC" w14:textId="77777777" w:rsidR="00574053" w:rsidRPr="001F748C" w:rsidRDefault="00574053" w:rsidP="00DB480F">
      <w:pPr>
        <w:pStyle w:val="af1"/>
        <w:tabs>
          <w:tab w:val="left" w:pos="0"/>
          <w:tab w:val="left" w:pos="709"/>
          <w:tab w:val="left" w:pos="851"/>
          <w:tab w:val="left" w:pos="993"/>
        </w:tabs>
        <w:spacing w:after="0" w:line="240" w:lineRule="auto"/>
        <w:ind w:left="0" w:firstLine="567"/>
        <w:jc w:val="both"/>
      </w:pPr>
    </w:p>
    <w:p w14:paraId="36B4FBF9" w14:textId="77777777" w:rsidR="00C90D60"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National Fund of the Republic of Kazakhstan</w:t>
      </w:r>
    </w:p>
    <w:p w14:paraId="5833521A" w14:textId="77777777" w:rsidR="000E2BFF" w:rsidRPr="00CD5E54" w:rsidRDefault="00BB4116"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Based on the resolutions of the Government of the Republic of Kazakhstan dated April 14, 2014 No. 354, dated December 5, 2014 No. 1276, dated March 11, 2015 No. 124, in order to support domestic small and medium-sized enterprises in the manufacturing industry in 2014-2015, 200 billion tenge were allocated to the Damu Fund from the National Fund of the Republic of Kazakhstan (hereinafter referred to as the NF RK).</w:t>
      </w:r>
    </w:p>
    <w:p w14:paraId="43E196B2" w14:textId="7DACD5FE" w:rsidR="000E2BFF" w:rsidRPr="00CD5E54"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program offers the most favorable terms for end borrowers. The program's broad reach into the SME manufacturing sector, as well as its strong interest in the program, allow to assess its social impact, which translates into job creation. The output of enterprises participating in the SME Support Program in the Manufacturing Industry, financed by the National Fund of the Republic of Kazakhstan, amounted to approximately 19.6 trillion tenge from 2014 to 2024, including 3,672 billion tenge, according to preliminary data for 2024.</w:t>
      </w:r>
    </w:p>
    <w:p w14:paraId="405F100B" w14:textId="77777777" w:rsidR="00267AF3" w:rsidRPr="00CD5E54" w:rsidRDefault="000E2BFF" w:rsidP="000E2BFF">
      <w:pPr>
        <w:ind w:firstLine="851"/>
        <w:jc w:val="both"/>
        <w:rPr>
          <w:lang w:val="en-US"/>
        </w:rPr>
      </w:pPr>
      <w:r w:rsidRPr="00CD5E54">
        <w:rPr>
          <w:lang w:val="en-US"/>
        </w:rPr>
        <w:t>Entrepreneurs who received funding under this program paid 1,291 billion tenge in taxes between 2014 and 2024, including 248.8 billion tenge in taxes for 2024.</w:t>
      </w:r>
    </w:p>
    <w:p w14:paraId="19F7469F" w14:textId="77777777" w:rsidR="00267AF3" w:rsidRPr="00CD5E54" w:rsidRDefault="00267AF3" w:rsidP="00DB480F">
      <w:pPr>
        <w:tabs>
          <w:tab w:val="left" w:pos="0"/>
          <w:tab w:val="left" w:pos="993"/>
        </w:tabs>
        <w:ind w:firstLine="567"/>
        <w:jc w:val="both"/>
        <w:rPr>
          <w:rFonts w:eastAsia="Calibri"/>
          <w:color w:val="auto"/>
          <w:lang w:val="en-US" w:eastAsia="en-US"/>
        </w:rPr>
      </w:pPr>
      <w:r w:rsidRPr="00CD5E54">
        <w:rPr>
          <w:color w:val="auto"/>
          <w:lang w:val="en-US"/>
        </w:rPr>
        <w:t xml:space="preserve">  </w:t>
      </w:r>
    </w:p>
    <w:p w14:paraId="3E5D0652" w14:textId="77777777" w:rsidR="00F315C1"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State program "Enbek"</w:t>
      </w:r>
    </w:p>
    <w:p w14:paraId="11C85959" w14:textId="236E8C98" w:rsidR="00626580" w:rsidRPr="00CD5E54" w:rsidRDefault="00584B5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Under the State Program for the Development of Productive Employment and Mass Entrepreneurship for 2017–2021 "Enbek"</w:t>
      </w:r>
      <w:r w:rsidR="00AB68BA">
        <w:rPr>
          <w:rFonts w:ascii="Times New Roman" w:hAnsi="Times New Roman"/>
          <w:sz w:val="24"/>
          <w:szCs w:val="24"/>
          <w:lang w:val="en-US"/>
        </w:rPr>
        <w:t>,</w:t>
      </w:r>
      <w:r w:rsidRPr="00CD5E54">
        <w:rPr>
          <w:rFonts w:ascii="Times New Roman" w:hAnsi="Times New Roman"/>
          <w:sz w:val="24"/>
          <w:szCs w:val="24"/>
          <w:lang w:val="en-US"/>
        </w:rPr>
        <w:t xml:space="preserve"> approved by Decree No. 919 of the Government of the Republic of Kazakhstan dated December 29, 2016, the Fund acted as the operator in cities, single-industry towns, rural settlements, and small towns. This program provided two instruments: preferential lending through second-tier banks and loan guarantees from second-tier banks, microfinance organizations, loan companies, and credit unions. Unlike the </w:t>
      </w:r>
      <w:r w:rsidR="009447A4">
        <w:rPr>
          <w:rFonts w:ascii="Times New Roman" w:hAnsi="Times New Roman"/>
          <w:sz w:val="24"/>
          <w:szCs w:val="24"/>
          <w:lang w:val="en-US"/>
        </w:rPr>
        <w:t>BR</w:t>
      </w:r>
      <w:r w:rsidRPr="00CD5E54">
        <w:rPr>
          <w:rFonts w:ascii="Times New Roman" w:hAnsi="Times New Roman"/>
          <w:sz w:val="24"/>
          <w:szCs w:val="24"/>
          <w:lang w:val="en-US"/>
        </w:rPr>
        <w:t xml:space="preserve">-2025 Program, this program had no sectoral restrictions. However, it did limit the loan amount to 8,000 MCIs in rural </w:t>
      </w:r>
      <w:r w:rsidRPr="00CD5E54">
        <w:rPr>
          <w:rFonts w:ascii="Times New Roman" w:hAnsi="Times New Roman"/>
          <w:sz w:val="24"/>
          <w:szCs w:val="24"/>
          <w:lang w:val="en-US"/>
        </w:rPr>
        <w:lastRenderedPageBreak/>
        <w:t>settlements and small towns, as well as in the cities of Nur-Sultan, Almaty, Aktau, Atyrau, and Shymkent, and up to 6,500 MCIs in other regions. During the implementation of the "Enbek" program, it was possible to provide guarantees for low-income and large-family entrepreneurs with a maximum guarantee of up to 95% of the loan amount.</w:t>
      </w:r>
    </w:p>
    <w:p w14:paraId="4E1871D7" w14:textId="77777777" w:rsidR="002E42B6" w:rsidRPr="00CD5E54" w:rsidRDefault="002E42B6"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the program, the Fund provided support to 6,535 entrepreneurs with a loan amount of 91.1 billion tenge.</w:t>
      </w:r>
    </w:p>
    <w:p w14:paraId="1AD41C06" w14:textId="3865DD0C" w:rsidR="009533C0" w:rsidRPr="00CD5E54" w:rsidRDefault="008D2675"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On December 31, 2021, the </w:t>
      </w:r>
      <w:r w:rsidR="00AB68BA" w:rsidRPr="00CD5E54">
        <w:rPr>
          <w:rFonts w:ascii="Times New Roman" w:hAnsi="Times New Roman"/>
          <w:sz w:val="24"/>
          <w:szCs w:val="24"/>
          <w:lang w:val="en-US"/>
        </w:rPr>
        <w:t>"</w:t>
      </w:r>
      <w:r w:rsidRPr="00CD5E54">
        <w:rPr>
          <w:rFonts w:ascii="Times New Roman" w:hAnsi="Times New Roman"/>
          <w:sz w:val="24"/>
          <w:szCs w:val="24"/>
          <w:lang w:val="en-US"/>
        </w:rPr>
        <w:t>Enbek</w:t>
      </w:r>
      <w:r w:rsidR="00AB68BA" w:rsidRPr="00CD5E54">
        <w:rPr>
          <w:rFonts w:ascii="Times New Roman" w:hAnsi="Times New Roman"/>
          <w:sz w:val="24"/>
          <w:szCs w:val="24"/>
          <w:lang w:val="en-US"/>
        </w:rPr>
        <w:t>"</w:t>
      </w:r>
      <w:r w:rsidRPr="00CD5E54">
        <w:rPr>
          <w:rFonts w:ascii="Times New Roman" w:hAnsi="Times New Roman"/>
          <w:sz w:val="24"/>
          <w:szCs w:val="24"/>
          <w:lang w:val="en-US"/>
        </w:rPr>
        <w:t xml:space="preserve"> program ended its operation.</w:t>
      </w:r>
    </w:p>
    <w:p w14:paraId="5643E0A1" w14:textId="77777777" w:rsidR="00584B5B" w:rsidRPr="00CD5E54" w:rsidRDefault="00584B5B" w:rsidP="00DB480F">
      <w:pPr>
        <w:tabs>
          <w:tab w:val="left" w:pos="0"/>
          <w:tab w:val="left" w:pos="993"/>
        </w:tabs>
        <w:ind w:firstLine="567"/>
        <w:jc w:val="both"/>
        <w:rPr>
          <w:color w:val="auto"/>
          <w:lang w:val="en-US"/>
        </w:rPr>
      </w:pPr>
    </w:p>
    <w:p w14:paraId="050D6126" w14:textId="77777777" w:rsidR="00F315C1"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Regional Financing Program</w:t>
      </w:r>
    </w:p>
    <w:p w14:paraId="6D54AE6B" w14:textId="77777777" w:rsidR="00BE5826" w:rsidRDefault="00F315C1"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626159">
        <w:rPr>
          <w:rFonts w:ascii="Times New Roman" w:hAnsi="Times New Roman"/>
          <w:sz w:val="24"/>
          <w:szCs w:val="24"/>
        </w:rPr>
        <w:t>Since 2010, the Damu Fund has been implementing the Regional Financing Program for Small and Medium-Sized Private Enterprises, aimed at increasing the effectiveness of regional MSME support and development programs by financing MSME projects in priority sectors for each region. The program is implemented using funds from local government agencies, as well as the Fund's own and borrowed funds on a co-financing basis, which are placed with second-tier banks and microfinance organizations for subsequent financing of MSME projects. The program is aimed at supporting small and medium-sized enterprises in the regions, small towns, and single-industry towns, increasing access to preferential credit, promoting the development and expansion of local entrepreneurship, and strengthening the competitiveness of the regions.</w:t>
      </w:r>
    </w:p>
    <w:p w14:paraId="64B420E0" w14:textId="77777777" w:rsidR="006E3F87" w:rsidRPr="00626159" w:rsidRDefault="006E3F87" w:rsidP="006E3F87">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6E3F87">
        <w:rPr>
          <w:rFonts w:ascii="Times New Roman" w:hAnsi="Times New Roman"/>
          <w:sz w:val="24"/>
          <w:szCs w:val="24"/>
        </w:rPr>
        <w:t>Since 2025, the Regional Targeted Program has been integrated into the Orleu conditional allocation program. The program's implementation mechanism has been significantly changed; funding will now be provided through a combination of funds from the Fund, local government agencies, and commercial banks.</w:t>
      </w:r>
    </w:p>
    <w:p w14:paraId="6D5E21B1" w14:textId="77777777" w:rsidR="001F2BB1" w:rsidRPr="00CD5E54" w:rsidRDefault="001F2BB1" w:rsidP="00A40268">
      <w:pPr>
        <w:tabs>
          <w:tab w:val="left" w:pos="567"/>
          <w:tab w:val="left" w:pos="709"/>
          <w:tab w:val="left" w:pos="851"/>
        </w:tabs>
        <w:jc w:val="center"/>
        <w:rPr>
          <w:b/>
          <w:color w:val="auto"/>
          <w:lang w:val="en-US"/>
        </w:rPr>
      </w:pPr>
    </w:p>
    <w:p w14:paraId="4F3F67DB" w14:textId="77777777" w:rsidR="002B58CA" w:rsidRPr="00CD5E54" w:rsidRDefault="00A40268" w:rsidP="00A40268">
      <w:pPr>
        <w:tabs>
          <w:tab w:val="left" w:pos="567"/>
          <w:tab w:val="left" w:pos="709"/>
          <w:tab w:val="left" w:pos="851"/>
        </w:tabs>
        <w:jc w:val="center"/>
        <w:rPr>
          <w:b/>
          <w:color w:val="auto"/>
          <w:lang w:val="en-US"/>
        </w:rPr>
      </w:pPr>
      <w:r w:rsidRPr="00CD5E54">
        <w:rPr>
          <w:b/>
          <w:color w:val="auto"/>
          <w:lang w:val="en-US"/>
        </w:rPr>
        <w:t>Results of the implementation of the instruments implemented by the Fund: programs of conditional placement of funds, subsidies and guarantees</w:t>
      </w:r>
    </w:p>
    <w:p w14:paraId="4E800D41" w14:textId="77777777" w:rsidR="002B58CA" w:rsidRPr="00CD5E54" w:rsidRDefault="002B58CA" w:rsidP="00A40268">
      <w:pPr>
        <w:tabs>
          <w:tab w:val="left" w:pos="567"/>
          <w:tab w:val="left" w:pos="709"/>
          <w:tab w:val="left" w:pos="851"/>
        </w:tabs>
        <w:jc w:val="center"/>
        <w:rPr>
          <w:b/>
          <w:color w:val="auto"/>
          <w:lang w:val="en-US"/>
        </w:rPr>
      </w:pPr>
    </w:p>
    <w:p w14:paraId="21896882" w14:textId="77777777" w:rsidR="00A40268" w:rsidRPr="00CD5E54" w:rsidRDefault="002B58CA" w:rsidP="00A40268">
      <w:pPr>
        <w:tabs>
          <w:tab w:val="left" w:pos="567"/>
          <w:tab w:val="left" w:pos="709"/>
          <w:tab w:val="left" w:pos="851"/>
        </w:tabs>
        <w:jc w:val="center"/>
        <w:rPr>
          <w:b/>
          <w:color w:val="auto"/>
          <w:lang w:val="en-US"/>
        </w:rPr>
      </w:pPr>
      <w:r w:rsidRPr="00CD5E54">
        <w:rPr>
          <w:b/>
          <w:bCs/>
          <w:color w:val="auto"/>
          <w:lang w:val="en-US"/>
        </w:rPr>
        <w:t>Dynamics of SME support results across all instruments</w:t>
      </w:r>
      <w:r w:rsidR="003D2FB6" w:rsidRPr="00CD5E54">
        <w:rPr>
          <w:b/>
          <w:color w:val="auto"/>
          <w:lang w:val="en-US"/>
        </w:rPr>
        <w:t xml:space="preserve"> </w:t>
      </w:r>
    </w:p>
    <w:p w14:paraId="2F7AFA4D" w14:textId="77777777" w:rsidR="002B58CA" w:rsidRPr="004F77AC" w:rsidRDefault="002B58CA"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Results for all financial programs: 227.7* thousand projects for a loan amount of 14.46 trillion tenge (as of July 1, 2025)</w:t>
      </w:r>
    </w:p>
    <w:p w14:paraId="1BE122DB" w14:textId="77777777" w:rsidR="002B58CA" w:rsidRPr="001F748C" w:rsidRDefault="002B58CA" w:rsidP="00A40268">
      <w:pPr>
        <w:tabs>
          <w:tab w:val="left" w:pos="567"/>
          <w:tab w:val="left" w:pos="709"/>
          <w:tab w:val="left" w:pos="851"/>
        </w:tabs>
        <w:jc w:val="center"/>
        <w:rPr>
          <w:b/>
          <w:color w:val="auto"/>
        </w:rPr>
      </w:pPr>
      <w:r w:rsidRPr="002B58CA">
        <w:rPr>
          <w:b/>
          <w:noProof/>
          <w:color w:val="auto"/>
        </w:rPr>
        <w:drawing>
          <wp:inline distT="0" distB="0" distL="0" distR="0" wp14:anchorId="3094B60A" wp14:editId="541868B6">
            <wp:extent cx="6210300" cy="2466975"/>
            <wp:effectExtent l="0" t="0" r="0" b="9525"/>
            <wp:docPr id="5" name="Диаграмма 5">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702FEF5" w14:textId="77777777" w:rsidR="002B58CA" w:rsidRPr="00CD5E54" w:rsidRDefault="002B58CA" w:rsidP="002B58CA">
      <w:pPr>
        <w:tabs>
          <w:tab w:val="left" w:pos="567"/>
          <w:tab w:val="left" w:pos="709"/>
          <w:tab w:val="left" w:pos="851"/>
        </w:tabs>
        <w:jc w:val="both"/>
        <w:rPr>
          <w:color w:val="auto"/>
          <w:sz w:val="16"/>
          <w:szCs w:val="16"/>
          <w:lang w:val="en-US"/>
        </w:rPr>
      </w:pPr>
      <w:r w:rsidRPr="00CD5E54">
        <w:rPr>
          <w:i/>
          <w:iCs/>
          <w:color w:val="auto"/>
          <w:sz w:val="16"/>
          <w:szCs w:val="16"/>
          <w:lang w:val="en-US"/>
        </w:rPr>
        <w:t>*- taking into account the deduction of projects for portfolio subsidies from the total number of projects, since projects for portfolio guarantees and subsidies are duplicated</w:t>
      </w:r>
    </w:p>
    <w:p w14:paraId="38FBB6D9" w14:textId="77777777" w:rsidR="00A40268" w:rsidRPr="00CD5E54" w:rsidRDefault="00A40268" w:rsidP="00323D97">
      <w:pPr>
        <w:tabs>
          <w:tab w:val="left" w:pos="567"/>
          <w:tab w:val="left" w:pos="709"/>
          <w:tab w:val="left" w:pos="851"/>
        </w:tabs>
        <w:jc w:val="both"/>
        <w:rPr>
          <w:i/>
          <w:color w:val="auto"/>
          <w:sz w:val="16"/>
          <w:szCs w:val="16"/>
          <w:lang w:val="en-US"/>
        </w:rPr>
      </w:pPr>
      <w:r w:rsidRPr="00CD5E54">
        <w:rPr>
          <w:i/>
          <w:color w:val="auto"/>
          <w:sz w:val="16"/>
          <w:szCs w:val="16"/>
          <w:lang w:val="en-US"/>
        </w:rPr>
        <w:t>Source:</w:t>
      </w:r>
      <w:hyperlink r:id="rId32" w:history="1">
        <w:r w:rsidR="002B58CA" w:rsidRPr="00CD5E54">
          <w:rPr>
            <w:rStyle w:val="a5"/>
            <w:i/>
            <w:sz w:val="16"/>
            <w:szCs w:val="16"/>
            <w:lang w:val="en-US"/>
          </w:rPr>
          <w:t>https://damu.kz/</w:t>
        </w:r>
      </w:hyperlink>
    </w:p>
    <w:p w14:paraId="2BA2855D" w14:textId="77777777" w:rsidR="002B58CA" w:rsidRPr="00CD5E54" w:rsidRDefault="002B58CA" w:rsidP="00323D97">
      <w:pPr>
        <w:tabs>
          <w:tab w:val="left" w:pos="567"/>
          <w:tab w:val="left" w:pos="709"/>
          <w:tab w:val="left" w:pos="851"/>
        </w:tabs>
        <w:jc w:val="both"/>
        <w:rPr>
          <w:i/>
          <w:color w:val="auto"/>
          <w:sz w:val="16"/>
          <w:szCs w:val="16"/>
          <w:lang w:val="en-US"/>
        </w:rPr>
      </w:pPr>
    </w:p>
    <w:p w14:paraId="14E31528" w14:textId="77777777" w:rsidR="002B58CA" w:rsidRPr="00CD5E54" w:rsidRDefault="002B58CA" w:rsidP="009447A4">
      <w:pPr>
        <w:tabs>
          <w:tab w:val="left" w:pos="567"/>
          <w:tab w:val="left" w:pos="709"/>
          <w:tab w:val="left" w:pos="851"/>
        </w:tabs>
        <w:jc w:val="center"/>
        <w:rPr>
          <w:b/>
          <w:bCs/>
          <w:color w:val="auto"/>
          <w:u w:val="single"/>
          <w:lang w:val="en-US"/>
        </w:rPr>
      </w:pPr>
      <w:r w:rsidRPr="00CD5E54">
        <w:rPr>
          <w:b/>
          <w:bCs/>
          <w:color w:val="auto"/>
          <w:lang w:val="en-US"/>
        </w:rPr>
        <w:t>Dynamics of the results of support for SMEs within the framework of subsidizing the interest rate</w:t>
      </w:r>
    </w:p>
    <w:p w14:paraId="66AF673C" w14:textId="77777777" w:rsidR="004B6D47" w:rsidRPr="004F77AC" w:rsidRDefault="004B6D47"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Results for the entire implementation period: 119.2 thousand projects for a loan amount of 8.97 trillion tenge (as of 01.07.2025)</w:t>
      </w:r>
    </w:p>
    <w:p w14:paraId="7218627A" w14:textId="77777777" w:rsidR="00375005" w:rsidRDefault="00375005" w:rsidP="00375005">
      <w:pPr>
        <w:tabs>
          <w:tab w:val="left" w:pos="567"/>
          <w:tab w:val="left" w:pos="709"/>
          <w:tab w:val="left" w:pos="851"/>
        </w:tabs>
        <w:jc w:val="both"/>
        <w:rPr>
          <w:bCs/>
          <w:color w:val="auto"/>
        </w:rPr>
      </w:pPr>
      <w:r w:rsidRPr="00375005">
        <w:rPr>
          <w:bCs/>
          <w:noProof/>
          <w:color w:val="auto"/>
        </w:rPr>
        <w:lastRenderedPageBreak/>
        <w:drawing>
          <wp:inline distT="0" distB="0" distL="0" distR="0" wp14:anchorId="4775E81B" wp14:editId="1156336C">
            <wp:extent cx="6210300" cy="2162175"/>
            <wp:effectExtent l="0" t="0" r="0" b="9525"/>
            <wp:docPr id="9" name="Диаграмма 9">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C86E1ED" w14:textId="77777777" w:rsidR="004B6D47" w:rsidRPr="004B6D47" w:rsidRDefault="004B6D47" w:rsidP="004B6D47">
      <w:pPr>
        <w:tabs>
          <w:tab w:val="left" w:pos="567"/>
          <w:tab w:val="left" w:pos="709"/>
          <w:tab w:val="left" w:pos="851"/>
        </w:tabs>
        <w:ind w:firstLine="567"/>
        <w:jc w:val="both"/>
        <w:rPr>
          <w:bCs/>
          <w:color w:val="auto"/>
        </w:rPr>
      </w:pPr>
    </w:p>
    <w:p w14:paraId="4D960176" w14:textId="77777777" w:rsidR="004B6D47" w:rsidRPr="00CD5E54" w:rsidRDefault="00375005" w:rsidP="00375005">
      <w:pPr>
        <w:tabs>
          <w:tab w:val="left" w:pos="567"/>
          <w:tab w:val="left" w:pos="709"/>
          <w:tab w:val="left" w:pos="851"/>
        </w:tabs>
        <w:jc w:val="center"/>
        <w:rPr>
          <w:b/>
          <w:bCs/>
          <w:color w:val="auto"/>
          <w:u w:val="single"/>
          <w:lang w:val="en-US"/>
        </w:rPr>
      </w:pPr>
      <w:r w:rsidRPr="00CD5E54">
        <w:rPr>
          <w:b/>
          <w:bCs/>
          <w:color w:val="auto"/>
          <w:lang w:val="en-US"/>
        </w:rPr>
        <w:t>Dynamics of the results of SME support within the framework of loan guarantees</w:t>
      </w:r>
    </w:p>
    <w:p w14:paraId="0EC2E6D5" w14:textId="77777777" w:rsidR="00375005" w:rsidRDefault="00375005"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Results for the entire implementation period: 74.2 thousand projects for a loan amount of 2.52 trillion tenge (as of 01.07.2025)</w:t>
      </w:r>
    </w:p>
    <w:p w14:paraId="661E407C" w14:textId="77777777" w:rsidR="006B3940" w:rsidRPr="004F77AC" w:rsidRDefault="006B3940" w:rsidP="00375005">
      <w:pPr>
        <w:tabs>
          <w:tab w:val="left" w:pos="567"/>
          <w:tab w:val="left" w:pos="709"/>
          <w:tab w:val="left" w:pos="851"/>
        </w:tabs>
        <w:jc w:val="both"/>
        <w:rPr>
          <w:rFonts w:eastAsia="Calibri"/>
          <w:color w:val="auto"/>
          <w:lang w:val="kk-KZ" w:eastAsia="en-US"/>
        </w:rPr>
      </w:pPr>
    </w:p>
    <w:p w14:paraId="319CBD59" w14:textId="77777777" w:rsidR="004F77AC" w:rsidRDefault="004F77AC" w:rsidP="00375005">
      <w:pPr>
        <w:tabs>
          <w:tab w:val="left" w:pos="567"/>
          <w:tab w:val="left" w:pos="709"/>
          <w:tab w:val="left" w:pos="851"/>
        </w:tabs>
        <w:jc w:val="center"/>
        <w:rPr>
          <w:color w:val="auto"/>
        </w:rPr>
      </w:pPr>
      <w:r w:rsidRPr="00375005">
        <w:rPr>
          <w:bCs/>
          <w:noProof/>
          <w:color w:val="auto"/>
        </w:rPr>
        <w:drawing>
          <wp:inline distT="0" distB="0" distL="0" distR="0" wp14:anchorId="32FF6105" wp14:editId="0A39CBCB">
            <wp:extent cx="6210300" cy="2019300"/>
            <wp:effectExtent l="0" t="0" r="0" b="0"/>
            <wp:docPr id="8" name="Диаграмма 8">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518D32D" w14:textId="77777777" w:rsidR="003E5EDA" w:rsidRDefault="003E5EDA" w:rsidP="00375005">
      <w:pPr>
        <w:tabs>
          <w:tab w:val="left" w:pos="567"/>
          <w:tab w:val="left" w:pos="709"/>
          <w:tab w:val="left" w:pos="851"/>
        </w:tabs>
        <w:jc w:val="center"/>
        <w:rPr>
          <w:b/>
          <w:bCs/>
          <w:color w:val="auto"/>
        </w:rPr>
      </w:pPr>
    </w:p>
    <w:p w14:paraId="046A4902" w14:textId="77777777" w:rsidR="00375005" w:rsidRPr="00CD5E54" w:rsidRDefault="003E5EDA" w:rsidP="00375005">
      <w:pPr>
        <w:tabs>
          <w:tab w:val="left" w:pos="567"/>
          <w:tab w:val="left" w:pos="709"/>
          <w:tab w:val="left" w:pos="851"/>
        </w:tabs>
        <w:jc w:val="center"/>
        <w:rPr>
          <w:b/>
          <w:bCs/>
          <w:color w:val="auto"/>
          <w:u w:val="single"/>
          <w:lang w:val="en-US"/>
        </w:rPr>
      </w:pPr>
      <w:r w:rsidRPr="00CD5E54">
        <w:rPr>
          <w:b/>
          <w:bCs/>
          <w:color w:val="auto"/>
          <w:lang w:val="en-US"/>
        </w:rPr>
        <w:t>Dynamics of the results of SME support within the framework of preferential financing</w:t>
      </w:r>
    </w:p>
    <w:p w14:paraId="7C7F752A" w14:textId="77777777" w:rsidR="003E5EDA" w:rsidRDefault="003E5EDA" w:rsidP="003E5EDA">
      <w:pPr>
        <w:tabs>
          <w:tab w:val="left" w:pos="567"/>
          <w:tab w:val="left" w:pos="709"/>
          <w:tab w:val="left" w:pos="851"/>
        </w:tabs>
        <w:jc w:val="both"/>
        <w:rPr>
          <w:rFonts w:eastAsia="Calibri"/>
          <w:color w:val="auto"/>
          <w:lang w:val="kk-KZ" w:eastAsia="en-US"/>
        </w:rPr>
      </w:pPr>
      <w:r w:rsidRPr="003E5EDA">
        <w:rPr>
          <w:rFonts w:eastAsia="Calibri"/>
          <w:color w:val="auto"/>
          <w:lang w:val="kk-KZ" w:eastAsia="en-US"/>
        </w:rPr>
        <w:t>Results for the entire implementation period: 82.2 thousand unique borrowers for a loan amount of 3.34 trillion tenge (as of 01.06.2025)</w:t>
      </w:r>
    </w:p>
    <w:p w14:paraId="40BEC93D" w14:textId="77777777" w:rsidR="003E5EDA" w:rsidRDefault="003E5EDA" w:rsidP="003E5EDA">
      <w:pPr>
        <w:tabs>
          <w:tab w:val="left" w:pos="567"/>
          <w:tab w:val="left" w:pos="709"/>
          <w:tab w:val="left" w:pos="851"/>
        </w:tabs>
        <w:jc w:val="both"/>
        <w:rPr>
          <w:rFonts w:eastAsia="Calibri"/>
          <w:color w:val="auto"/>
          <w:lang w:val="kk-KZ" w:eastAsia="en-US"/>
        </w:rPr>
      </w:pPr>
      <w:r w:rsidRPr="003E5EDA">
        <w:rPr>
          <w:rFonts w:eastAsia="Calibri"/>
          <w:noProof/>
          <w:color w:val="auto"/>
        </w:rPr>
        <w:drawing>
          <wp:inline distT="0" distB="0" distL="0" distR="0" wp14:anchorId="664BEF74" wp14:editId="0A2E24A3">
            <wp:extent cx="6210300" cy="2200275"/>
            <wp:effectExtent l="0" t="0" r="0" b="0"/>
            <wp:docPr id="10" name="Диаграмма 10">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23B0219" w14:textId="77777777" w:rsidR="00512FAD" w:rsidRPr="00CD5E54" w:rsidRDefault="00512FAD" w:rsidP="00512FAD">
      <w:pPr>
        <w:tabs>
          <w:tab w:val="left" w:pos="567"/>
          <w:tab w:val="left" w:pos="709"/>
          <w:tab w:val="left" w:pos="851"/>
        </w:tabs>
        <w:rPr>
          <w:color w:val="auto"/>
          <w:sz w:val="16"/>
          <w:szCs w:val="16"/>
          <w:lang w:val="en-US"/>
        </w:rPr>
      </w:pPr>
      <w:r w:rsidRPr="00CD5E54">
        <w:rPr>
          <w:i/>
          <w:iCs/>
          <w:color w:val="auto"/>
          <w:sz w:val="16"/>
          <w:szCs w:val="16"/>
          <w:lang w:val="en-US"/>
        </w:rPr>
        <w:t>* - number of unique borrowers for each reporting year</w:t>
      </w:r>
    </w:p>
    <w:p w14:paraId="5CCC6A39" w14:textId="77777777" w:rsidR="00014C1A" w:rsidRPr="00CD5E54" w:rsidRDefault="00A95732" w:rsidP="0023345D">
      <w:pPr>
        <w:pageBreakBefore/>
        <w:ind w:firstLine="425"/>
        <w:jc w:val="center"/>
        <w:rPr>
          <w:color w:val="auto"/>
          <w:lang w:val="en-US"/>
        </w:rPr>
      </w:pPr>
      <w:bookmarkStart w:id="9" w:name="SUB10400"/>
      <w:bookmarkEnd w:id="9"/>
      <w:r w:rsidRPr="00CD5E54">
        <w:rPr>
          <w:b/>
          <w:bCs/>
          <w:color w:val="auto"/>
          <w:lang w:val="en-US"/>
        </w:rPr>
        <w:lastRenderedPageBreak/>
        <w:t>Chapter 2. Analysis of the current state of the Damu Fund: analysis of the internal environment</w:t>
      </w:r>
    </w:p>
    <w:p w14:paraId="2913F130" w14:textId="77777777" w:rsidR="00F907C3" w:rsidRPr="00CD5E54" w:rsidRDefault="00F907C3">
      <w:pPr>
        <w:ind w:firstLine="426"/>
        <w:jc w:val="both"/>
        <w:rPr>
          <w:b/>
          <w:bCs/>
          <w:color w:val="auto"/>
          <w:lang w:val="en-US"/>
        </w:rPr>
      </w:pPr>
      <w:bookmarkStart w:id="10" w:name="SUB1040100"/>
      <w:bookmarkEnd w:id="10"/>
    </w:p>
    <w:p w14:paraId="7D18882A" w14:textId="25577DEC" w:rsidR="00014C1A" w:rsidRPr="00CD5E54" w:rsidRDefault="00A44E3E" w:rsidP="00A44E3E">
      <w:pPr>
        <w:ind w:firstLine="426"/>
        <w:jc w:val="center"/>
        <w:rPr>
          <w:b/>
          <w:bCs/>
          <w:color w:val="auto"/>
          <w:lang w:val="en-US"/>
        </w:rPr>
      </w:pPr>
      <w:r w:rsidRPr="00CD5E54">
        <w:rPr>
          <w:b/>
          <w:bCs/>
          <w:color w:val="auto"/>
          <w:lang w:val="en-US"/>
        </w:rPr>
        <w:t xml:space="preserve">Section 1. </w:t>
      </w:r>
      <w:r w:rsidR="00AB68BA">
        <w:rPr>
          <w:b/>
          <w:bCs/>
          <w:color w:val="auto"/>
          <w:lang w:val="en-US"/>
        </w:rPr>
        <w:t>The main</w:t>
      </w:r>
      <w:r w:rsidRPr="00CD5E54">
        <w:rPr>
          <w:b/>
          <w:bCs/>
          <w:color w:val="auto"/>
          <w:lang w:val="en-US"/>
        </w:rPr>
        <w:t xml:space="preserve"> activit</w:t>
      </w:r>
      <w:r w:rsidR="00AB68BA">
        <w:rPr>
          <w:b/>
          <w:bCs/>
          <w:color w:val="auto"/>
          <w:lang w:val="en-US"/>
        </w:rPr>
        <w:t>ies</w:t>
      </w:r>
      <w:r w:rsidRPr="00CD5E54">
        <w:rPr>
          <w:b/>
          <w:bCs/>
          <w:color w:val="auto"/>
          <w:lang w:val="en-US"/>
        </w:rPr>
        <w:t xml:space="preserve"> of the Fund</w:t>
      </w:r>
    </w:p>
    <w:p w14:paraId="312CA945" w14:textId="77777777" w:rsidR="00734FF6" w:rsidRPr="00CD5E54" w:rsidRDefault="00734FF6" w:rsidP="00A44E3E">
      <w:pPr>
        <w:ind w:firstLine="426"/>
        <w:jc w:val="center"/>
        <w:rPr>
          <w:color w:val="auto"/>
          <w:lang w:val="en-US"/>
        </w:rPr>
      </w:pPr>
    </w:p>
    <w:p w14:paraId="19669934" w14:textId="00D02A6A" w:rsidR="009C3FD3" w:rsidRPr="00CD5E54" w:rsidRDefault="00CC06D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C06DA">
        <w:rPr>
          <w:rFonts w:ascii="Times New Roman" w:hAnsi="Times New Roman"/>
          <w:sz w:val="24"/>
          <w:szCs w:val="24"/>
          <w:lang w:val="en-US"/>
        </w:rPr>
        <w:t>The Damu Fund is a financial agency that implements state support instruments, the purpose of which is to promote the qualitative development of private entrepreneurship in the Republic of Kazakhstan through the provision of financial support. The fund offers a wide range of products and services for entrepreneurs</w:t>
      </w:r>
      <w:r w:rsidR="005D61BA" w:rsidRPr="00CD5E54">
        <w:rPr>
          <w:rFonts w:ascii="Times New Roman" w:hAnsi="Times New Roman"/>
          <w:sz w:val="24"/>
          <w:szCs w:val="24"/>
          <w:lang w:val="en-US"/>
        </w:rPr>
        <w:t>:</w:t>
      </w:r>
    </w:p>
    <w:p w14:paraId="10103144" w14:textId="77777777" w:rsidR="009C3FD3" w:rsidRPr="001F748C" w:rsidRDefault="009C3FD3"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preferential lending within the framework of lending programs through second-tier banks, microfinance organizations, leasing companies and other legal entities that are partners of the Fund;</w:t>
      </w:r>
    </w:p>
    <w:p w14:paraId="583EBB38" w14:textId="77777777" w:rsidR="002433E7" w:rsidRPr="001F748C" w:rsidRDefault="005D61BA"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subsidizing interest rates on loans/microloans/leasing transactions;</w:t>
      </w:r>
    </w:p>
    <w:p w14:paraId="79A1320D" w14:textId="77777777" w:rsidR="002433E7" w:rsidRPr="001F748C" w:rsidDel="00AD4D48" w:rsidRDefault="002433E7"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sidDel="00AD4D48">
        <w:rPr>
          <w:rFonts w:ascii="Times New Roman" w:hAnsi="Times New Roman"/>
          <w:sz w:val="24"/>
          <w:szCs w:val="24"/>
        </w:rPr>
        <w:t>guaranteeing the obligations of entrepreneurs;</w:t>
      </w:r>
    </w:p>
    <w:p w14:paraId="380A0D57" w14:textId="77777777" w:rsidR="002433E7" w:rsidRPr="001F748C" w:rsidRDefault="002433E7"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consulting support;</w:t>
      </w:r>
    </w:p>
    <w:p w14:paraId="74AE9CBE" w14:textId="77777777" w:rsidR="004C1259" w:rsidRPr="001F748C" w:rsidRDefault="005D61BA"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dissemination of information and analytical materials;</w:t>
      </w:r>
    </w:p>
    <w:p w14:paraId="69C01291" w14:textId="77777777" w:rsidR="005D61BA" w:rsidRPr="001F748C" w:rsidRDefault="004C1259"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monitoring the compliance, targeted use and implementation of the entrepreneur's project with the terms of the programs.</w:t>
      </w:r>
    </w:p>
    <w:p w14:paraId="089533F3" w14:textId="77777777" w:rsidR="00014C1A" w:rsidRPr="00CD5E54" w:rsidRDefault="005D61B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expand the reach of existing entrepreneurs with government financial support instruments, the Fund, within the framework of its Development Strategy, continues to work in existing areas, developing new approaches to improve efficiency, and also plans to introduce new areas and instruments.</w:t>
      </w:r>
    </w:p>
    <w:p w14:paraId="5EF69AA3" w14:textId="77777777" w:rsidR="001923A8" w:rsidRPr="001F748C" w:rsidRDefault="001923A8" w:rsidP="001923A8">
      <w:pPr>
        <w:pStyle w:val="af1"/>
        <w:tabs>
          <w:tab w:val="left" w:pos="567"/>
          <w:tab w:val="left" w:pos="709"/>
          <w:tab w:val="left" w:pos="851"/>
        </w:tabs>
        <w:spacing w:after="0" w:line="240" w:lineRule="auto"/>
        <w:ind w:left="426"/>
        <w:jc w:val="both"/>
        <w:rPr>
          <w:rFonts w:ascii="Times New Roman" w:hAnsi="Times New Roman"/>
          <w:i/>
          <w:sz w:val="24"/>
          <w:szCs w:val="24"/>
        </w:rPr>
      </w:pPr>
    </w:p>
    <w:p w14:paraId="3597433F" w14:textId="77777777" w:rsidR="00A170D1" w:rsidRPr="00644EF5" w:rsidRDefault="000C237B" w:rsidP="000C237B">
      <w:pPr>
        <w:ind w:firstLine="426"/>
        <w:jc w:val="center"/>
        <w:rPr>
          <w:b/>
          <w:bCs/>
          <w:color w:val="auto"/>
        </w:rPr>
      </w:pPr>
      <w:r w:rsidRPr="00644EF5">
        <w:rPr>
          <w:b/>
          <w:bCs/>
          <w:color w:val="auto"/>
        </w:rPr>
        <w:t>Section 2. Benchmarking</w:t>
      </w:r>
    </w:p>
    <w:p w14:paraId="06FB8E2C" w14:textId="77777777" w:rsidR="000C237B" w:rsidRPr="00644EF5" w:rsidRDefault="000C237B" w:rsidP="000C237B">
      <w:pPr>
        <w:ind w:firstLine="426"/>
        <w:jc w:val="center"/>
        <w:rPr>
          <w:b/>
          <w:bCs/>
          <w:color w:val="auto"/>
        </w:rPr>
      </w:pPr>
    </w:p>
    <w:p w14:paraId="7B89EFFE"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developing the Development Strategy and MSME support programs, the Damu Fund utilizes international experience in state support for entrepreneurship, taking into account the specifics of the local market and the effectiveness of applying this experience in the context of Kazakhstan.</w:t>
      </w:r>
    </w:p>
    <w:p w14:paraId="75C8E472"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2023, as part of the development of the Development Strategy, the Fund conducted an analysis of the activities of similar development institutions in South Korea - the Korea Credit Guarantee Fund (KODIT) and the Korea Agency for SMEs and Startups (KOSME), the United States - the US Small Business Administration (SBA), Turkey - the Small and Medium Enterprise Development Organization of Turkey (KOSGEB) and the Credit Guarantee Fund (KGF), Singapore - the State Agency for Enterprise Development (Enterprise Singapore) on a number of parameters: mission and vision, strategic areas of activity and the business support tools used.</w:t>
      </w:r>
    </w:p>
    <w:p w14:paraId="36F0EF50"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According to the latest publicly available statistics, the above-mentioned countries have a high share of SMEs in GDP and, in general, MSMEs play a significant role in the economies of these countries.</w:t>
      </w:r>
    </w:p>
    <w:p w14:paraId="54199A51" w14:textId="77777777" w:rsidR="00417583" w:rsidRPr="00CD5E54" w:rsidRDefault="00417583" w:rsidP="00417583">
      <w:pPr>
        <w:ind w:firstLine="426"/>
        <w:jc w:val="both"/>
        <w:rPr>
          <w:rFonts w:eastAsia="Calibri"/>
          <w:color w:val="0070C0"/>
          <w:lang w:val="en-US" w:eastAsia="en-US"/>
        </w:rPr>
      </w:pPr>
    </w:p>
    <w:tbl>
      <w:tblPr>
        <w:tblStyle w:val="afc"/>
        <w:tblW w:w="9809" w:type="dxa"/>
        <w:tblLook w:val="04A0" w:firstRow="1" w:lastRow="0" w:firstColumn="1" w:lastColumn="0" w:noHBand="0" w:noVBand="1"/>
      </w:tblPr>
      <w:tblGrid>
        <w:gridCol w:w="3114"/>
        <w:gridCol w:w="1755"/>
        <w:gridCol w:w="1620"/>
        <w:gridCol w:w="1620"/>
        <w:gridCol w:w="1690"/>
        <w:gridCol w:w="10"/>
      </w:tblGrid>
      <w:tr w:rsidR="00417583" w14:paraId="0764EB08" w14:textId="77777777" w:rsidTr="00B41F89">
        <w:trPr>
          <w:trHeight w:val="575"/>
        </w:trPr>
        <w:tc>
          <w:tcPr>
            <w:tcW w:w="3114" w:type="dxa"/>
            <w:vAlign w:val="center"/>
          </w:tcPr>
          <w:p w14:paraId="7541EF7D" w14:textId="77777777" w:rsidR="00417583" w:rsidRPr="00CD5E54" w:rsidRDefault="00417583" w:rsidP="00760825">
            <w:pPr>
              <w:tabs>
                <w:tab w:val="left" w:pos="567"/>
                <w:tab w:val="left" w:pos="709"/>
                <w:tab w:val="left" w:pos="851"/>
              </w:tabs>
              <w:rPr>
                <w:b/>
                <w:bCs/>
                <w:color w:val="0070C0"/>
                <w:lang w:val="en-US"/>
              </w:rPr>
            </w:pPr>
            <w:r w:rsidRPr="00CD5E54">
              <w:rPr>
                <w:b/>
                <w:bCs/>
                <w:color w:val="auto"/>
                <w:lang w:val="en-US"/>
              </w:rPr>
              <w:t>General statistics for 2024 by country</w:t>
            </w:r>
          </w:p>
        </w:tc>
        <w:tc>
          <w:tcPr>
            <w:tcW w:w="1755" w:type="dxa"/>
            <w:vAlign w:val="center"/>
          </w:tcPr>
          <w:p w14:paraId="7D8D74FC" w14:textId="77777777" w:rsidR="00417583" w:rsidRDefault="00417583" w:rsidP="006B4F86">
            <w:pPr>
              <w:tabs>
                <w:tab w:val="left" w:pos="567"/>
                <w:tab w:val="left" w:pos="709"/>
                <w:tab w:val="left" w:pos="851"/>
              </w:tabs>
              <w:jc w:val="center"/>
              <w:rPr>
                <w:color w:val="0070C0"/>
              </w:rPr>
            </w:pPr>
            <w:r w:rsidRPr="00E56090">
              <w:rPr>
                <w:noProof/>
                <w:color w:val="0070C0"/>
              </w:rPr>
              <w:drawing>
                <wp:inline distT="0" distB="0" distL="0" distR="0" wp14:anchorId="27403F7B" wp14:editId="66D02959">
                  <wp:extent cx="777240" cy="374904"/>
                  <wp:effectExtent l="0" t="0" r="3810" b="6350"/>
                  <wp:docPr id="45" name="Рисунок 44" descr="A flag with a sun and eagle&#10;&#10;Description automatically generated">
                    <a:extLst xmlns:a="http://schemas.openxmlformats.org/drawingml/2006/main">
                      <a:ext uri="{FF2B5EF4-FFF2-40B4-BE49-F238E27FC236}">
                        <a16:creationId xmlns:a16="http://schemas.microsoft.com/office/drawing/2014/main" id="{894F2935-EEA2-873F-658E-B03245141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4" descr="A flag with a sun and eagle&#10;&#10;Description automatically generated">
                            <a:extLst>
                              <a:ext uri="{FF2B5EF4-FFF2-40B4-BE49-F238E27FC236}">
                                <a16:creationId xmlns:a16="http://schemas.microsoft.com/office/drawing/2014/main" id="{894F2935-EEA2-873F-658E-B03245141D51}"/>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7240" cy="374904"/>
                          </a:xfrm>
                          <a:prstGeom prst="rect">
                            <a:avLst/>
                          </a:prstGeom>
                        </pic:spPr>
                      </pic:pic>
                    </a:graphicData>
                  </a:graphic>
                </wp:inline>
              </w:drawing>
            </w:r>
          </w:p>
        </w:tc>
        <w:tc>
          <w:tcPr>
            <w:tcW w:w="1620" w:type="dxa"/>
          </w:tcPr>
          <w:p w14:paraId="36CDDB03" w14:textId="77777777" w:rsidR="00417583" w:rsidRDefault="00417583" w:rsidP="006B4F86">
            <w:pPr>
              <w:tabs>
                <w:tab w:val="left" w:pos="567"/>
                <w:tab w:val="left" w:pos="709"/>
                <w:tab w:val="left" w:pos="851"/>
              </w:tabs>
              <w:spacing w:before="240"/>
              <w:jc w:val="center"/>
              <w:rPr>
                <w:color w:val="0070C0"/>
              </w:rPr>
            </w:pPr>
            <w:r>
              <w:rPr>
                <w:color w:val="0070C0"/>
              </w:rPr>
              <w:softHyphen/>
            </w:r>
            <w:r w:rsidRPr="00D43525">
              <w:rPr>
                <w:noProof/>
                <w:color w:val="0070C0"/>
              </w:rPr>
              <w:drawing>
                <wp:inline distT="0" distB="0" distL="0" distR="0" wp14:anchorId="5ACF291A" wp14:editId="5868A841">
                  <wp:extent cx="746234" cy="361081"/>
                  <wp:effectExtent l="0" t="0" r="0" b="1270"/>
                  <wp:docPr id="32" name="Рисунок 31" descr="A flag with stars and stripes&#10;&#10;Description automatically generated">
                    <a:extLst xmlns:a="http://schemas.openxmlformats.org/drawingml/2006/main">
                      <a:ext uri="{FF2B5EF4-FFF2-40B4-BE49-F238E27FC236}">
                        <a16:creationId xmlns:a16="http://schemas.microsoft.com/office/drawing/2014/main" id="{918E7B9C-C8C3-677C-86C0-0F7D4DCF9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1" descr="A flag with stars and stripes&#10;&#10;Description automatically generated">
                            <a:extLst>
                              <a:ext uri="{FF2B5EF4-FFF2-40B4-BE49-F238E27FC236}">
                                <a16:creationId xmlns:a16="http://schemas.microsoft.com/office/drawing/2014/main" id="{918E7B9C-C8C3-677C-86C0-0F7D4DCF950B}"/>
                              </a:ext>
                            </a:extLst>
                          </pic:cNvPr>
                          <pic:cNvPicPr>
                            <a:picLocks noChangeAspect="1"/>
                          </pic:cNvPicPr>
                        </pic:nvPicPr>
                        <pic:blipFill>
                          <a:blip r:embed="rId37"/>
                          <a:stretch>
                            <a:fillRect/>
                          </a:stretch>
                        </pic:blipFill>
                        <pic:spPr>
                          <a:xfrm>
                            <a:off x="0" y="0"/>
                            <a:ext cx="764176" cy="369763"/>
                          </a:xfrm>
                          <a:prstGeom prst="rect">
                            <a:avLst/>
                          </a:prstGeom>
                        </pic:spPr>
                      </pic:pic>
                    </a:graphicData>
                  </a:graphic>
                </wp:inline>
              </w:drawing>
            </w:r>
          </w:p>
        </w:tc>
        <w:tc>
          <w:tcPr>
            <w:tcW w:w="1620" w:type="dxa"/>
          </w:tcPr>
          <w:p w14:paraId="1257D87C" w14:textId="77777777" w:rsidR="00417583" w:rsidRDefault="00417583" w:rsidP="006B4F86">
            <w:pPr>
              <w:tabs>
                <w:tab w:val="left" w:pos="567"/>
                <w:tab w:val="left" w:pos="709"/>
                <w:tab w:val="left" w:pos="851"/>
              </w:tabs>
              <w:jc w:val="center"/>
              <w:rPr>
                <w:color w:val="0070C0"/>
              </w:rPr>
            </w:pPr>
          </w:p>
          <w:p w14:paraId="4F18D115" w14:textId="77777777" w:rsidR="00417583" w:rsidRDefault="00417583" w:rsidP="006B4F86">
            <w:pPr>
              <w:tabs>
                <w:tab w:val="left" w:pos="567"/>
                <w:tab w:val="left" w:pos="709"/>
                <w:tab w:val="left" w:pos="851"/>
              </w:tabs>
              <w:jc w:val="center"/>
              <w:rPr>
                <w:color w:val="0070C0"/>
              </w:rPr>
            </w:pPr>
            <w:r w:rsidRPr="00D43525">
              <w:rPr>
                <w:noProof/>
                <w:color w:val="0070C0"/>
              </w:rPr>
              <w:drawing>
                <wp:inline distT="0" distB="0" distL="0" distR="0" wp14:anchorId="420BAF56" wp14:editId="55525B65">
                  <wp:extent cx="674633" cy="352885"/>
                  <wp:effectExtent l="19050" t="19050" r="11430" b="28575"/>
                  <wp:docPr id="710141564" name="Picture 710141564" descr="A red and white flag with white stars and a crescent moon&#10;&#10;Description automatically generated">
                    <a:extLst xmlns:a="http://schemas.openxmlformats.org/drawingml/2006/main">
                      <a:ext uri="{FF2B5EF4-FFF2-40B4-BE49-F238E27FC236}">
                        <a16:creationId xmlns:a16="http://schemas.microsoft.com/office/drawing/2014/main" id="{81F329F8-875A-A5E4-0731-A022C602E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1564" name="Picture 710141564" descr="A red and white flag with white stars and a crescent moon&#10;&#10;Description automatically generated">
                            <a:extLst>
                              <a:ext uri="{FF2B5EF4-FFF2-40B4-BE49-F238E27FC236}">
                                <a16:creationId xmlns:a16="http://schemas.microsoft.com/office/drawing/2014/main" id="{81F329F8-875A-A5E4-0731-A022C602E892}"/>
                              </a:ext>
                            </a:extLst>
                          </pic:cNvPr>
                          <pic:cNvPicPr>
                            <a:picLocks noChangeAspect="1"/>
                          </pic:cNvPicPr>
                        </pic:nvPicPr>
                        <pic:blipFill>
                          <a:blip r:embed="rId38"/>
                          <a:stretch>
                            <a:fillRect/>
                          </a:stretch>
                        </pic:blipFill>
                        <pic:spPr>
                          <a:xfrm>
                            <a:off x="0" y="0"/>
                            <a:ext cx="680644" cy="356029"/>
                          </a:xfrm>
                          <a:prstGeom prst="rect">
                            <a:avLst/>
                          </a:prstGeom>
                          <a:ln>
                            <a:solidFill>
                              <a:schemeClr val="bg1">
                                <a:lumMod val="50000"/>
                              </a:schemeClr>
                            </a:solidFill>
                          </a:ln>
                        </pic:spPr>
                      </pic:pic>
                    </a:graphicData>
                  </a:graphic>
                </wp:inline>
              </w:drawing>
            </w:r>
          </w:p>
        </w:tc>
        <w:tc>
          <w:tcPr>
            <w:tcW w:w="1700" w:type="dxa"/>
            <w:gridSpan w:val="2"/>
          </w:tcPr>
          <w:p w14:paraId="0619E9C6" w14:textId="77777777" w:rsidR="00417583" w:rsidRDefault="00417583" w:rsidP="006B4F86">
            <w:pPr>
              <w:tabs>
                <w:tab w:val="left" w:pos="567"/>
                <w:tab w:val="left" w:pos="709"/>
                <w:tab w:val="left" w:pos="851"/>
              </w:tabs>
              <w:jc w:val="center"/>
              <w:rPr>
                <w:color w:val="0070C0"/>
              </w:rPr>
            </w:pPr>
          </w:p>
          <w:p w14:paraId="2B2A0DEC" w14:textId="77777777" w:rsidR="00417583" w:rsidRPr="00D43525" w:rsidRDefault="00417583" w:rsidP="006B4F86">
            <w:pPr>
              <w:tabs>
                <w:tab w:val="left" w:pos="567"/>
                <w:tab w:val="left" w:pos="709"/>
                <w:tab w:val="left" w:pos="851"/>
              </w:tabs>
              <w:jc w:val="center"/>
              <w:rPr>
                <w:color w:val="0070C0"/>
              </w:rPr>
            </w:pPr>
            <w:r w:rsidRPr="00D43525">
              <w:rPr>
                <w:noProof/>
                <w:color w:val="0070C0"/>
              </w:rPr>
              <w:drawing>
                <wp:inline distT="0" distB="0" distL="0" distR="0" wp14:anchorId="538913C6" wp14:editId="4CC863DA">
                  <wp:extent cx="664122" cy="332061"/>
                  <wp:effectExtent l="19050" t="19050" r="22225" b="11430"/>
                  <wp:docPr id="1609677575" name="Picture 1609677575" descr="A flag with a crescent and a star&#10;&#10;Description automatically generated">
                    <a:extLst xmlns:a="http://schemas.openxmlformats.org/drawingml/2006/main">
                      <a:ext uri="{FF2B5EF4-FFF2-40B4-BE49-F238E27FC236}">
                        <a16:creationId xmlns:a16="http://schemas.microsoft.com/office/drawing/2014/main" id="{96863B34-C748-A5A3-3DFF-B68FD6B85C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7575" name="Picture 1609677575" descr="A flag with a crescent and a star&#10;&#10;Description automatically generated">
                            <a:extLst>
                              <a:ext uri="{FF2B5EF4-FFF2-40B4-BE49-F238E27FC236}">
                                <a16:creationId xmlns:a16="http://schemas.microsoft.com/office/drawing/2014/main" id="{96863B34-C748-A5A3-3DFF-B68FD6B85C25}"/>
                              </a:ext>
                            </a:extLst>
                          </pic:cNvPr>
                          <pic:cNvPicPr>
                            <a:picLocks noChangeAspect="1"/>
                          </pic:cNvPicPr>
                        </pic:nvPicPr>
                        <pic:blipFill>
                          <a:blip r:embed="rId39"/>
                          <a:stretch>
                            <a:fillRect/>
                          </a:stretch>
                        </pic:blipFill>
                        <pic:spPr>
                          <a:xfrm>
                            <a:off x="0" y="0"/>
                            <a:ext cx="669792" cy="334896"/>
                          </a:xfrm>
                          <a:prstGeom prst="rect">
                            <a:avLst/>
                          </a:prstGeom>
                          <a:ln>
                            <a:solidFill>
                              <a:schemeClr val="bg1">
                                <a:lumMod val="50000"/>
                              </a:schemeClr>
                            </a:solidFill>
                          </a:ln>
                        </pic:spPr>
                      </pic:pic>
                    </a:graphicData>
                  </a:graphic>
                </wp:inline>
              </w:drawing>
            </w:r>
          </w:p>
        </w:tc>
      </w:tr>
      <w:tr w:rsidR="00417583" w:rsidRPr="009F09FE" w14:paraId="74856B2B" w14:textId="77777777" w:rsidTr="00B41F89">
        <w:trPr>
          <w:gridAfter w:val="1"/>
          <w:wAfter w:w="10" w:type="dxa"/>
        </w:trPr>
        <w:tc>
          <w:tcPr>
            <w:tcW w:w="3114" w:type="dxa"/>
          </w:tcPr>
          <w:p w14:paraId="459952A5" w14:textId="77777777" w:rsidR="00417583" w:rsidRPr="009F09FE" w:rsidRDefault="00BF52F4" w:rsidP="006B4F86">
            <w:pPr>
              <w:tabs>
                <w:tab w:val="left" w:pos="567"/>
                <w:tab w:val="left" w:pos="709"/>
                <w:tab w:val="left" w:pos="851"/>
              </w:tabs>
              <w:jc w:val="both"/>
              <w:rPr>
                <w:b/>
                <w:bCs/>
                <w:color w:val="000000" w:themeColor="text1"/>
                <w:kern w:val="24"/>
                <w:lang w:val="en-US"/>
              </w:rPr>
            </w:pPr>
            <w:r>
              <w:t>MSME</w:t>
            </w:r>
            <w:r w:rsidR="00417583">
              <w:rPr>
                <w:b/>
                <w:bCs/>
                <w:color w:val="000000" w:themeColor="text1"/>
                <w:kern w:val="24"/>
              </w:rPr>
              <w:t>, units</w:t>
            </w:r>
          </w:p>
        </w:tc>
        <w:tc>
          <w:tcPr>
            <w:tcW w:w="1755" w:type="dxa"/>
          </w:tcPr>
          <w:p w14:paraId="26045B62" w14:textId="22B059B0" w:rsidR="00417583" w:rsidRPr="008E1E7B" w:rsidRDefault="000472CC" w:rsidP="006B4F86">
            <w:pPr>
              <w:tabs>
                <w:tab w:val="left" w:pos="567"/>
                <w:tab w:val="left" w:pos="709"/>
                <w:tab w:val="left" w:pos="851"/>
              </w:tabs>
              <w:jc w:val="center"/>
              <w:rPr>
                <w:color w:val="0070C0"/>
                <w:lang w:val="en-US"/>
              </w:rPr>
            </w:pPr>
            <w:r>
              <w:rPr>
                <w:b/>
                <w:bCs/>
                <w:color w:val="000000" w:themeColor="text1"/>
                <w:kern w:val="24"/>
              </w:rPr>
              <w:t>2</w:t>
            </w:r>
            <w:r w:rsidR="008E1E7B">
              <w:rPr>
                <w:b/>
                <w:bCs/>
                <w:color w:val="000000" w:themeColor="text1"/>
                <w:kern w:val="24"/>
                <w:lang w:val="en-US"/>
              </w:rPr>
              <w:t>6,</w:t>
            </w:r>
            <w:r>
              <w:rPr>
                <w:b/>
                <w:bCs/>
                <w:color w:val="000000" w:themeColor="text1"/>
                <w:kern w:val="24"/>
              </w:rPr>
              <w:t xml:space="preserve">1 </w:t>
            </w:r>
            <w:r w:rsidR="008E1E7B">
              <w:rPr>
                <w:b/>
                <w:bCs/>
                <w:color w:val="000000" w:themeColor="text1"/>
                <w:kern w:val="24"/>
                <w:lang w:val="en-US"/>
              </w:rPr>
              <w:t>mln</w:t>
            </w:r>
          </w:p>
        </w:tc>
        <w:tc>
          <w:tcPr>
            <w:tcW w:w="1620" w:type="dxa"/>
          </w:tcPr>
          <w:p w14:paraId="10329778" w14:textId="1B70AEFE" w:rsidR="00417583" w:rsidRPr="009F09FE" w:rsidRDefault="000472CC" w:rsidP="006B4F86">
            <w:pPr>
              <w:tabs>
                <w:tab w:val="left" w:pos="567"/>
                <w:tab w:val="left" w:pos="709"/>
                <w:tab w:val="left" w:pos="851"/>
              </w:tabs>
              <w:jc w:val="center"/>
              <w:rPr>
                <w:color w:val="0070C0"/>
              </w:rPr>
            </w:pPr>
            <w:r>
              <w:rPr>
                <w:b/>
                <w:bCs/>
                <w:color w:val="000000" w:themeColor="text1"/>
                <w:kern w:val="24"/>
              </w:rPr>
              <w:t>34</w:t>
            </w:r>
            <w:r w:rsidR="008E1E7B">
              <w:rPr>
                <w:b/>
                <w:bCs/>
                <w:color w:val="000000" w:themeColor="text1"/>
                <w:kern w:val="24"/>
                <w:lang w:val="en-US"/>
              </w:rPr>
              <w:t>,</w:t>
            </w:r>
            <w:r>
              <w:rPr>
                <w:b/>
                <w:bCs/>
                <w:color w:val="000000" w:themeColor="text1"/>
                <w:kern w:val="24"/>
              </w:rPr>
              <w:t xml:space="preserve">8 </w:t>
            </w:r>
            <w:r w:rsidR="008E1E7B">
              <w:rPr>
                <w:b/>
                <w:bCs/>
                <w:color w:val="000000" w:themeColor="text1"/>
                <w:kern w:val="24"/>
                <w:lang w:val="en-US"/>
              </w:rPr>
              <w:t>mln</w:t>
            </w:r>
          </w:p>
        </w:tc>
        <w:tc>
          <w:tcPr>
            <w:tcW w:w="1620" w:type="dxa"/>
          </w:tcPr>
          <w:p w14:paraId="7FE99A66" w14:textId="16FB9547" w:rsidR="00417583" w:rsidRPr="008E1E7B" w:rsidRDefault="003A26EE" w:rsidP="006B4F86">
            <w:pPr>
              <w:tabs>
                <w:tab w:val="left" w:pos="567"/>
                <w:tab w:val="left" w:pos="709"/>
                <w:tab w:val="left" w:pos="851"/>
              </w:tabs>
              <w:jc w:val="center"/>
              <w:rPr>
                <w:color w:val="0070C0"/>
                <w:lang w:val="en-US"/>
              </w:rPr>
            </w:pPr>
            <w:r>
              <w:rPr>
                <w:b/>
                <w:bCs/>
                <w:color w:val="000000" w:themeColor="text1"/>
                <w:kern w:val="24"/>
              </w:rPr>
              <w:t>356</w:t>
            </w:r>
            <w:r w:rsidR="008E1E7B">
              <w:rPr>
                <w:b/>
                <w:bCs/>
                <w:color w:val="000000" w:themeColor="text1"/>
                <w:kern w:val="24"/>
                <w:lang w:val="en-US"/>
              </w:rPr>
              <w:t>,</w:t>
            </w:r>
            <w:r>
              <w:rPr>
                <w:b/>
                <w:bCs/>
                <w:color w:val="000000" w:themeColor="text1"/>
                <w:kern w:val="24"/>
              </w:rPr>
              <w:t>1 thousand</w:t>
            </w:r>
          </w:p>
        </w:tc>
        <w:tc>
          <w:tcPr>
            <w:tcW w:w="1690" w:type="dxa"/>
          </w:tcPr>
          <w:p w14:paraId="3FD54A05" w14:textId="6E713B16" w:rsidR="00417583" w:rsidRPr="008E1E7B" w:rsidRDefault="00F02C3D" w:rsidP="006B4F86">
            <w:pPr>
              <w:tabs>
                <w:tab w:val="left" w:pos="567"/>
                <w:tab w:val="left" w:pos="709"/>
                <w:tab w:val="left" w:pos="851"/>
              </w:tabs>
              <w:jc w:val="center"/>
              <w:rPr>
                <w:color w:val="0070C0"/>
                <w:lang w:val="en-US"/>
              </w:rPr>
            </w:pPr>
            <w:r>
              <w:rPr>
                <w:b/>
                <w:bCs/>
                <w:color w:val="000000" w:themeColor="text1"/>
                <w:kern w:val="24"/>
              </w:rPr>
              <w:t>3</w:t>
            </w:r>
            <w:r w:rsidR="008E1E7B">
              <w:rPr>
                <w:b/>
                <w:bCs/>
                <w:color w:val="000000" w:themeColor="text1"/>
                <w:kern w:val="24"/>
                <w:lang w:val="en-US"/>
              </w:rPr>
              <w:t>,</w:t>
            </w:r>
            <w:r>
              <w:rPr>
                <w:b/>
                <w:bCs/>
                <w:color w:val="000000" w:themeColor="text1"/>
                <w:kern w:val="24"/>
              </w:rPr>
              <w:t xml:space="preserve">7 </w:t>
            </w:r>
            <w:r w:rsidR="008E1E7B">
              <w:rPr>
                <w:b/>
                <w:bCs/>
                <w:color w:val="000000" w:themeColor="text1"/>
                <w:kern w:val="24"/>
                <w:lang w:val="en-US"/>
              </w:rPr>
              <w:t>mln</w:t>
            </w:r>
          </w:p>
        </w:tc>
      </w:tr>
      <w:tr w:rsidR="000A0FF7" w:rsidRPr="009F09FE" w14:paraId="59C779AC" w14:textId="77777777" w:rsidTr="00B41F89">
        <w:trPr>
          <w:gridAfter w:val="1"/>
          <w:wAfter w:w="10" w:type="dxa"/>
        </w:trPr>
        <w:tc>
          <w:tcPr>
            <w:tcW w:w="3114" w:type="dxa"/>
          </w:tcPr>
          <w:p w14:paraId="3D6D4A28" w14:textId="77777777" w:rsidR="000A0FF7" w:rsidRPr="00CD5E54" w:rsidRDefault="000A0FF7" w:rsidP="000A0FF7">
            <w:pPr>
              <w:tabs>
                <w:tab w:val="left" w:pos="567"/>
                <w:tab w:val="left" w:pos="709"/>
                <w:tab w:val="left" w:pos="851"/>
              </w:tabs>
              <w:jc w:val="both"/>
              <w:rPr>
                <w:b/>
                <w:bCs/>
                <w:color w:val="000000" w:themeColor="text1"/>
                <w:kern w:val="24"/>
                <w:lang w:val="en-US"/>
              </w:rPr>
            </w:pPr>
            <w:r w:rsidRPr="00CD5E54">
              <w:rPr>
                <w:color w:val="000000" w:themeColor="text1"/>
                <w:kern w:val="24"/>
                <w:lang w:val="en-US"/>
              </w:rPr>
              <w:t>share of small and medium-sized enterprises from the total number of small and medium-sized enterprises</w:t>
            </w:r>
          </w:p>
        </w:tc>
        <w:tc>
          <w:tcPr>
            <w:tcW w:w="1755" w:type="dxa"/>
          </w:tcPr>
          <w:p w14:paraId="24C2ABD6" w14:textId="2613C1D9" w:rsidR="000A0FF7" w:rsidRPr="009F09FE" w:rsidRDefault="000A0FF7" w:rsidP="000A0FF7">
            <w:pPr>
              <w:tabs>
                <w:tab w:val="left" w:pos="567"/>
                <w:tab w:val="left" w:pos="709"/>
                <w:tab w:val="left" w:pos="851"/>
              </w:tabs>
              <w:jc w:val="center"/>
              <w:rPr>
                <w:color w:val="0070C0"/>
              </w:rPr>
            </w:pPr>
            <w:r>
              <w:rPr>
                <w:b/>
                <w:bCs/>
                <w:color w:val="000000" w:themeColor="text1"/>
                <w:kern w:val="24"/>
              </w:rPr>
              <w:t>97</w:t>
            </w:r>
            <w:r w:rsidRPr="009F09FE">
              <w:rPr>
                <w:b/>
                <w:bCs/>
                <w:color w:val="000000" w:themeColor="text1"/>
                <w:kern w:val="24"/>
              </w:rPr>
              <w:t>%</w:t>
            </w:r>
          </w:p>
        </w:tc>
        <w:tc>
          <w:tcPr>
            <w:tcW w:w="1620" w:type="dxa"/>
          </w:tcPr>
          <w:p w14:paraId="5B46F945" w14:textId="2E8FDE70" w:rsidR="000A0FF7" w:rsidRPr="009F09FE" w:rsidRDefault="000A0FF7" w:rsidP="000A0FF7">
            <w:pPr>
              <w:tabs>
                <w:tab w:val="left" w:pos="567"/>
                <w:tab w:val="left" w:pos="709"/>
                <w:tab w:val="left" w:pos="851"/>
              </w:tabs>
              <w:jc w:val="center"/>
              <w:rPr>
                <w:color w:val="0070C0"/>
              </w:rPr>
            </w:pPr>
            <w:r w:rsidRPr="009F09FE">
              <w:rPr>
                <w:b/>
                <w:bCs/>
                <w:color w:val="000000" w:themeColor="text1"/>
                <w:kern w:val="24"/>
              </w:rPr>
              <w:t>99</w:t>
            </w:r>
            <w:r>
              <w:rPr>
                <w:b/>
                <w:bCs/>
                <w:color w:val="000000" w:themeColor="text1"/>
                <w:kern w:val="24"/>
              </w:rPr>
              <w:t>,9</w:t>
            </w:r>
            <w:r w:rsidRPr="009F09FE">
              <w:rPr>
                <w:b/>
                <w:bCs/>
                <w:color w:val="000000" w:themeColor="text1"/>
                <w:kern w:val="24"/>
              </w:rPr>
              <w:t>%</w:t>
            </w:r>
          </w:p>
        </w:tc>
        <w:tc>
          <w:tcPr>
            <w:tcW w:w="1620" w:type="dxa"/>
          </w:tcPr>
          <w:p w14:paraId="4CD5C5AD" w14:textId="3EE9A176" w:rsidR="000A0FF7" w:rsidRPr="009F09FE" w:rsidRDefault="000A0FF7" w:rsidP="000A0FF7">
            <w:pPr>
              <w:tabs>
                <w:tab w:val="left" w:pos="567"/>
                <w:tab w:val="left" w:pos="709"/>
                <w:tab w:val="left" w:pos="851"/>
              </w:tabs>
              <w:jc w:val="center"/>
              <w:rPr>
                <w:color w:val="0070C0"/>
              </w:rPr>
            </w:pPr>
            <w:r w:rsidRPr="009F09FE">
              <w:rPr>
                <w:b/>
                <w:bCs/>
                <w:color w:val="000000" w:themeColor="text1"/>
                <w:kern w:val="24"/>
              </w:rPr>
              <w:t>99%</w:t>
            </w:r>
          </w:p>
        </w:tc>
        <w:tc>
          <w:tcPr>
            <w:tcW w:w="1690" w:type="dxa"/>
          </w:tcPr>
          <w:p w14:paraId="400D501F" w14:textId="7EA1B814" w:rsidR="000A0FF7" w:rsidRPr="009F09FE" w:rsidRDefault="000A0FF7" w:rsidP="000A0FF7">
            <w:pPr>
              <w:tabs>
                <w:tab w:val="left" w:pos="567"/>
                <w:tab w:val="left" w:pos="709"/>
                <w:tab w:val="left" w:pos="851"/>
              </w:tabs>
              <w:jc w:val="center"/>
              <w:rPr>
                <w:color w:val="0070C0"/>
              </w:rPr>
            </w:pPr>
            <w:r>
              <w:rPr>
                <w:b/>
                <w:bCs/>
                <w:color w:val="000000" w:themeColor="text1"/>
                <w:kern w:val="24"/>
              </w:rPr>
              <w:t>91,9</w:t>
            </w:r>
            <w:r w:rsidRPr="009F09FE">
              <w:rPr>
                <w:b/>
                <w:bCs/>
                <w:color w:val="000000" w:themeColor="text1"/>
                <w:kern w:val="24"/>
              </w:rPr>
              <w:t>%</w:t>
            </w:r>
          </w:p>
        </w:tc>
      </w:tr>
      <w:tr w:rsidR="000A0FF7" w:rsidRPr="009F09FE" w14:paraId="23EB557C" w14:textId="77777777" w:rsidTr="00B41F89">
        <w:trPr>
          <w:gridAfter w:val="1"/>
          <w:wAfter w:w="10" w:type="dxa"/>
        </w:trPr>
        <w:tc>
          <w:tcPr>
            <w:tcW w:w="3114" w:type="dxa"/>
          </w:tcPr>
          <w:p w14:paraId="54938F1A" w14:textId="0256D202" w:rsidR="000A0FF7" w:rsidRPr="00CD5E54" w:rsidRDefault="000A0FF7" w:rsidP="000A0FF7">
            <w:pPr>
              <w:tabs>
                <w:tab w:val="left" w:pos="567"/>
                <w:tab w:val="left" w:pos="709"/>
                <w:tab w:val="left" w:pos="851"/>
              </w:tabs>
              <w:jc w:val="both"/>
              <w:rPr>
                <w:b/>
                <w:bCs/>
                <w:color w:val="000000" w:themeColor="text1"/>
                <w:kern w:val="24"/>
                <w:lang w:val="en-US"/>
              </w:rPr>
            </w:pPr>
            <w:r w:rsidRPr="00CD5E54">
              <w:rPr>
                <w:color w:val="000000" w:themeColor="text1"/>
                <w:kern w:val="24"/>
                <w:lang w:val="en-US"/>
              </w:rPr>
              <w:t xml:space="preserve">share of population employed in the </w:t>
            </w:r>
            <w:r w:rsidRPr="00CD5E54">
              <w:rPr>
                <w:lang w:val="en-US"/>
              </w:rPr>
              <w:t>MSME</w:t>
            </w:r>
            <w:r w:rsidR="00B17C47">
              <w:rPr>
                <w:lang w:val="en-US"/>
              </w:rPr>
              <w:t xml:space="preserve"> sector</w:t>
            </w:r>
          </w:p>
        </w:tc>
        <w:tc>
          <w:tcPr>
            <w:tcW w:w="1755" w:type="dxa"/>
          </w:tcPr>
          <w:p w14:paraId="3BE5CD8F" w14:textId="661ED06E" w:rsidR="000A0FF7" w:rsidRPr="009F09FE" w:rsidRDefault="000A0FF7" w:rsidP="000A0FF7">
            <w:pPr>
              <w:tabs>
                <w:tab w:val="left" w:pos="567"/>
                <w:tab w:val="left" w:pos="709"/>
                <w:tab w:val="left" w:pos="851"/>
              </w:tabs>
              <w:jc w:val="center"/>
              <w:rPr>
                <w:color w:val="0070C0"/>
              </w:rPr>
            </w:pPr>
            <w:r w:rsidRPr="009F09FE">
              <w:rPr>
                <w:b/>
                <w:bCs/>
                <w:color w:val="000000" w:themeColor="text1"/>
                <w:kern w:val="24"/>
              </w:rPr>
              <w:t>4</w:t>
            </w:r>
            <w:r>
              <w:rPr>
                <w:b/>
                <w:bCs/>
                <w:color w:val="000000" w:themeColor="text1"/>
                <w:kern w:val="24"/>
              </w:rPr>
              <w:t>8</w:t>
            </w:r>
            <w:r w:rsidRPr="009F09FE">
              <w:rPr>
                <w:b/>
                <w:bCs/>
                <w:color w:val="000000" w:themeColor="text1"/>
                <w:kern w:val="24"/>
              </w:rPr>
              <w:t>%</w:t>
            </w:r>
          </w:p>
        </w:tc>
        <w:tc>
          <w:tcPr>
            <w:tcW w:w="1620" w:type="dxa"/>
          </w:tcPr>
          <w:p w14:paraId="7A0BBD1D" w14:textId="6FE77BF9" w:rsidR="000A0FF7" w:rsidRPr="009F09FE" w:rsidRDefault="000A0FF7" w:rsidP="000A0FF7">
            <w:pPr>
              <w:tabs>
                <w:tab w:val="left" w:pos="567"/>
                <w:tab w:val="left" w:pos="709"/>
                <w:tab w:val="left" w:pos="851"/>
              </w:tabs>
              <w:jc w:val="center"/>
              <w:rPr>
                <w:color w:val="0070C0"/>
              </w:rPr>
            </w:pPr>
            <w:r w:rsidRPr="009F09FE">
              <w:rPr>
                <w:b/>
                <w:bCs/>
                <w:color w:val="000000" w:themeColor="text1"/>
                <w:kern w:val="24"/>
              </w:rPr>
              <w:t>46%</w:t>
            </w:r>
          </w:p>
        </w:tc>
        <w:tc>
          <w:tcPr>
            <w:tcW w:w="1620" w:type="dxa"/>
          </w:tcPr>
          <w:p w14:paraId="2F62FD65" w14:textId="7C6E6178" w:rsidR="000A0FF7" w:rsidRPr="009F09FE" w:rsidRDefault="000A0FF7" w:rsidP="000A0FF7">
            <w:pPr>
              <w:tabs>
                <w:tab w:val="left" w:pos="567"/>
                <w:tab w:val="left" w:pos="709"/>
                <w:tab w:val="left" w:pos="851"/>
              </w:tabs>
              <w:jc w:val="center"/>
              <w:rPr>
                <w:color w:val="0070C0"/>
              </w:rPr>
            </w:pPr>
            <w:r w:rsidRPr="009F09FE">
              <w:rPr>
                <w:b/>
                <w:bCs/>
                <w:color w:val="000000" w:themeColor="text1"/>
                <w:kern w:val="24"/>
              </w:rPr>
              <w:t>71%</w:t>
            </w:r>
          </w:p>
        </w:tc>
        <w:tc>
          <w:tcPr>
            <w:tcW w:w="1690" w:type="dxa"/>
          </w:tcPr>
          <w:p w14:paraId="039FC8E9" w14:textId="1B243C3F" w:rsidR="000A0FF7" w:rsidRPr="009F09FE" w:rsidRDefault="000A0FF7" w:rsidP="000A0FF7">
            <w:pPr>
              <w:tabs>
                <w:tab w:val="left" w:pos="567"/>
                <w:tab w:val="left" w:pos="709"/>
                <w:tab w:val="left" w:pos="851"/>
              </w:tabs>
              <w:jc w:val="center"/>
              <w:rPr>
                <w:color w:val="0070C0"/>
              </w:rPr>
            </w:pPr>
            <w:r>
              <w:rPr>
                <w:b/>
                <w:bCs/>
                <w:color w:val="000000" w:themeColor="text1"/>
                <w:kern w:val="24"/>
              </w:rPr>
              <w:t>78</w:t>
            </w:r>
            <w:r w:rsidRPr="009F09FE">
              <w:rPr>
                <w:b/>
                <w:bCs/>
                <w:color w:val="000000" w:themeColor="text1"/>
                <w:kern w:val="24"/>
              </w:rPr>
              <w:t>%</w:t>
            </w:r>
          </w:p>
        </w:tc>
      </w:tr>
      <w:tr w:rsidR="000A0FF7" w:rsidRPr="009F09FE" w14:paraId="76C55AD3" w14:textId="77777777" w:rsidTr="00B41F89">
        <w:trPr>
          <w:gridAfter w:val="1"/>
          <w:wAfter w:w="10" w:type="dxa"/>
        </w:trPr>
        <w:tc>
          <w:tcPr>
            <w:tcW w:w="3114" w:type="dxa"/>
          </w:tcPr>
          <w:p w14:paraId="163B2A6D" w14:textId="4280BE0A" w:rsidR="000A0FF7" w:rsidRPr="000A0FF7" w:rsidRDefault="000A0FF7" w:rsidP="000A0FF7">
            <w:pPr>
              <w:tabs>
                <w:tab w:val="left" w:pos="567"/>
                <w:tab w:val="left" w:pos="709"/>
                <w:tab w:val="left" w:pos="851"/>
              </w:tabs>
              <w:jc w:val="both"/>
              <w:rPr>
                <w:b/>
                <w:bCs/>
                <w:color w:val="000000" w:themeColor="text1"/>
                <w:kern w:val="24"/>
                <w:lang w:val="en-US"/>
              </w:rPr>
            </w:pPr>
            <w:r w:rsidRPr="000A0FF7">
              <w:rPr>
                <w:color w:val="000000" w:themeColor="text1"/>
                <w:kern w:val="24"/>
                <w:lang w:val="en-US"/>
              </w:rPr>
              <w:lastRenderedPageBreak/>
              <w:t>share of MSMEs in the country's GDP</w:t>
            </w:r>
          </w:p>
        </w:tc>
        <w:tc>
          <w:tcPr>
            <w:tcW w:w="1755" w:type="dxa"/>
          </w:tcPr>
          <w:p w14:paraId="76D749CC" w14:textId="0EF514B2" w:rsidR="000A0FF7" w:rsidRPr="009F09FE" w:rsidRDefault="000A0FF7" w:rsidP="000A0FF7">
            <w:pPr>
              <w:tabs>
                <w:tab w:val="left" w:pos="567"/>
                <w:tab w:val="left" w:pos="709"/>
                <w:tab w:val="left" w:pos="851"/>
              </w:tabs>
              <w:jc w:val="center"/>
              <w:rPr>
                <w:color w:val="0070C0"/>
              </w:rPr>
            </w:pPr>
            <w:r>
              <w:rPr>
                <w:b/>
                <w:bCs/>
                <w:color w:val="000000" w:themeColor="text1"/>
                <w:kern w:val="24"/>
              </w:rPr>
              <w:t>39,7</w:t>
            </w:r>
            <w:r w:rsidRPr="009F09FE">
              <w:rPr>
                <w:b/>
                <w:bCs/>
                <w:color w:val="000000" w:themeColor="text1"/>
                <w:kern w:val="24"/>
              </w:rPr>
              <w:t>%</w:t>
            </w:r>
          </w:p>
        </w:tc>
        <w:tc>
          <w:tcPr>
            <w:tcW w:w="1620" w:type="dxa"/>
          </w:tcPr>
          <w:p w14:paraId="3C370BC6" w14:textId="68F0C058" w:rsidR="000A0FF7" w:rsidRPr="009F09FE" w:rsidRDefault="000A0FF7" w:rsidP="000A0FF7">
            <w:pPr>
              <w:tabs>
                <w:tab w:val="left" w:pos="567"/>
                <w:tab w:val="left" w:pos="709"/>
                <w:tab w:val="left" w:pos="851"/>
              </w:tabs>
              <w:jc w:val="center"/>
              <w:rPr>
                <w:color w:val="0070C0"/>
              </w:rPr>
            </w:pPr>
            <w:r>
              <w:rPr>
                <w:b/>
                <w:bCs/>
                <w:color w:val="000000" w:themeColor="text1"/>
                <w:kern w:val="24"/>
              </w:rPr>
              <w:t>43,5</w:t>
            </w:r>
            <w:r w:rsidRPr="009F09FE">
              <w:rPr>
                <w:b/>
                <w:bCs/>
                <w:color w:val="000000" w:themeColor="text1"/>
                <w:kern w:val="24"/>
              </w:rPr>
              <w:t>%</w:t>
            </w:r>
          </w:p>
        </w:tc>
        <w:tc>
          <w:tcPr>
            <w:tcW w:w="1620" w:type="dxa"/>
          </w:tcPr>
          <w:p w14:paraId="26CB7DBA" w14:textId="39161E50" w:rsidR="000A0FF7" w:rsidRPr="009F09FE" w:rsidRDefault="000A0FF7" w:rsidP="000A0FF7">
            <w:pPr>
              <w:tabs>
                <w:tab w:val="left" w:pos="567"/>
                <w:tab w:val="left" w:pos="709"/>
                <w:tab w:val="left" w:pos="851"/>
              </w:tabs>
              <w:jc w:val="center"/>
              <w:rPr>
                <w:color w:val="0070C0"/>
              </w:rPr>
            </w:pPr>
            <w:r>
              <w:rPr>
                <w:b/>
                <w:bCs/>
                <w:color w:val="000000" w:themeColor="text1"/>
                <w:kern w:val="24"/>
              </w:rPr>
              <w:t>47</w:t>
            </w:r>
            <w:r w:rsidRPr="009F09FE">
              <w:rPr>
                <w:b/>
                <w:bCs/>
                <w:color w:val="000000" w:themeColor="text1"/>
                <w:kern w:val="24"/>
              </w:rPr>
              <w:t>%</w:t>
            </w:r>
          </w:p>
        </w:tc>
        <w:tc>
          <w:tcPr>
            <w:tcW w:w="1690" w:type="dxa"/>
          </w:tcPr>
          <w:p w14:paraId="67A31765" w14:textId="2AA80529" w:rsidR="000A0FF7" w:rsidRPr="009F09FE" w:rsidRDefault="000A0FF7" w:rsidP="000A0FF7">
            <w:pPr>
              <w:tabs>
                <w:tab w:val="left" w:pos="567"/>
                <w:tab w:val="left" w:pos="709"/>
                <w:tab w:val="left" w:pos="851"/>
              </w:tabs>
              <w:jc w:val="center"/>
              <w:rPr>
                <w:color w:val="0070C0"/>
              </w:rPr>
            </w:pPr>
            <w:r>
              <w:rPr>
                <w:b/>
                <w:bCs/>
                <w:color w:val="000000" w:themeColor="text1"/>
                <w:kern w:val="24"/>
              </w:rPr>
              <w:t>55</w:t>
            </w:r>
            <w:r w:rsidRPr="009F09FE">
              <w:rPr>
                <w:b/>
                <w:bCs/>
                <w:color w:val="000000" w:themeColor="text1"/>
                <w:kern w:val="24"/>
              </w:rPr>
              <w:t>%</w:t>
            </w:r>
          </w:p>
        </w:tc>
      </w:tr>
      <w:tr w:rsidR="000A0FF7" w:rsidRPr="009F09FE" w14:paraId="1D701B53" w14:textId="77777777" w:rsidTr="00B41F89">
        <w:trPr>
          <w:gridAfter w:val="1"/>
          <w:wAfter w:w="10" w:type="dxa"/>
        </w:trPr>
        <w:tc>
          <w:tcPr>
            <w:tcW w:w="3114" w:type="dxa"/>
          </w:tcPr>
          <w:p w14:paraId="0C3A4864" w14:textId="77777777" w:rsidR="000A0FF7" w:rsidRPr="009F09FE" w:rsidRDefault="000A0FF7" w:rsidP="000A0FF7">
            <w:pPr>
              <w:tabs>
                <w:tab w:val="left" w:pos="567"/>
                <w:tab w:val="left" w:pos="709"/>
                <w:tab w:val="left" w:pos="851"/>
              </w:tabs>
              <w:jc w:val="both"/>
              <w:rPr>
                <w:color w:val="000000" w:themeColor="text1"/>
                <w:kern w:val="24"/>
              </w:rPr>
            </w:pPr>
            <w:r w:rsidRPr="009F09FE">
              <w:rPr>
                <w:color w:val="000000" w:themeColor="text1"/>
                <w:kern w:val="24"/>
              </w:rPr>
              <w:t>Base rate</w:t>
            </w:r>
          </w:p>
        </w:tc>
        <w:tc>
          <w:tcPr>
            <w:tcW w:w="1755" w:type="dxa"/>
          </w:tcPr>
          <w:p w14:paraId="32F7E1D8" w14:textId="0704351C" w:rsidR="000A0FF7" w:rsidRPr="009F09FE" w:rsidRDefault="000A0FF7" w:rsidP="000A0FF7">
            <w:pPr>
              <w:tabs>
                <w:tab w:val="left" w:pos="567"/>
                <w:tab w:val="left" w:pos="709"/>
                <w:tab w:val="left" w:pos="851"/>
              </w:tabs>
              <w:jc w:val="center"/>
              <w:rPr>
                <w:color w:val="000000" w:themeColor="text1"/>
                <w:kern w:val="24"/>
                <w:lang w:val="en-US"/>
              </w:rPr>
            </w:pPr>
            <w:r>
              <w:rPr>
                <w:b/>
                <w:bCs/>
                <w:color w:val="000000" w:themeColor="text1"/>
                <w:kern w:val="24"/>
              </w:rPr>
              <w:t>15,25</w:t>
            </w:r>
            <w:r w:rsidRPr="009F09FE">
              <w:rPr>
                <w:b/>
                <w:bCs/>
                <w:color w:val="000000" w:themeColor="text1"/>
                <w:kern w:val="24"/>
              </w:rPr>
              <w:t>%</w:t>
            </w:r>
          </w:p>
        </w:tc>
        <w:tc>
          <w:tcPr>
            <w:tcW w:w="1620" w:type="dxa"/>
          </w:tcPr>
          <w:p w14:paraId="6A9FFA2D" w14:textId="1D2823C9" w:rsidR="000A0FF7" w:rsidRPr="009F09FE" w:rsidRDefault="000A0FF7" w:rsidP="000A0FF7">
            <w:pPr>
              <w:tabs>
                <w:tab w:val="left" w:pos="567"/>
                <w:tab w:val="left" w:pos="709"/>
                <w:tab w:val="left" w:pos="851"/>
              </w:tabs>
              <w:jc w:val="center"/>
              <w:rPr>
                <w:b/>
                <w:bCs/>
                <w:color w:val="000000" w:themeColor="text1"/>
                <w:kern w:val="24"/>
                <w:lang w:val="en-US"/>
              </w:rPr>
            </w:pPr>
            <w:r>
              <w:rPr>
                <w:b/>
                <w:bCs/>
                <w:color w:val="000000" w:themeColor="text1"/>
                <w:kern w:val="24"/>
              </w:rPr>
              <w:t>4,5</w:t>
            </w:r>
            <w:r w:rsidRPr="009F09FE">
              <w:rPr>
                <w:b/>
                <w:bCs/>
                <w:color w:val="000000" w:themeColor="text1"/>
                <w:kern w:val="24"/>
              </w:rPr>
              <w:t>%</w:t>
            </w:r>
          </w:p>
        </w:tc>
        <w:tc>
          <w:tcPr>
            <w:tcW w:w="1620" w:type="dxa"/>
          </w:tcPr>
          <w:p w14:paraId="164D80F8" w14:textId="7B7BF90B" w:rsidR="000A0FF7" w:rsidRPr="009F09FE" w:rsidRDefault="000A0FF7" w:rsidP="000A0FF7">
            <w:pPr>
              <w:tabs>
                <w:tab w:val="left" w:pos="567"/>
                <w:tab w:val="left" w:pos="709"/>
                <w:tab w:val="left" w:pos="851"/>
              </w:tabs>
              <w:jc w:val="center"/>
              <w:rPr>
                <w:b/>
                <w:bCs/>
                <w:color w:val="000000" w:themeColor="text1"/>
                <w:kern w:val="24"/>
                <w:lang w:val="en-US"/>
              </w:rPr>
            </w:pPr>
            <w:r>
              <w:rPr>
                <w:b/>
                <w:bCs/>
                <w:color w:val="000000" w:themeColor="text1"/>
                <w:kern w:val="24"/>
              </w:rPr>
              <w:t>3,3</w:t>
            </w:r>
            <w:r>
              <w:rPr>
                <w:b/>
                <w:bCs/>
                <w:color w:val="000000" w:themeColor="text1"/>
                <w:kern w:val="24"/>
                <w:lang w:val="en-US"/>
              </w:rPr>
              <w:t>%</w:t>
            </w:r>
          </w:p>
        </w:tc>
        <w:tc>
          <w:tcPr>
            <w:tcW w:w="1690" w:type="dxa"/>
          </w:tcPr>
          <w:p w14:paraId="36595DCC" w14:textId="5C089E5D" w:rsidR="000A0FF7" w:rsidRPr="009F09FE" w:rsidRDefault="000A0FF7" w:rsidP="000A0FF7">
            <w:pPr>
              <w:tabs>
                <w:tab w:val="left" w:pos="567"/>
                <w:tab w:val="left" w:pos="709"/>
                <w:tab w:val="left" w:pos="851"/>
              </w:tabs>
              <w:jc w:val="center"/>
              <w:rPr>
                <w:b/>
                <w:bCs/>
                <w:color w:val="000000" w:themeColor="text1"/>
                <w:kern w:val="24"/>
                <w:lang w:val="en-US"/>
              </w:rPr>
            </w:pPr>
            <w:r>
              <w:rPr>
                <w:b/>
                <w:bCs/>
                <w:color w:val="000000" w:themeColor="text1"/>
                <w:kern w:val="24"/>
              </w:rPr>
              <w:t>47,5</w:t>
            </w:r>
            <w:r>
              <w:rPr>
                <w:b/>
                <w:bCs/>
                <w:color w:val="000000" w:themeColor="text1"/>
                <w:kern w:val="24"/>
                <w:lang w:val="en-US"/>
              </w:rPr>
              <w:t>%</w:t>
            </w:r>
          </w:p>
        </w:tc>
      </w:tr>
    </w:tbl>
    <w:p w14:paraId="70D50C2D" w14:textId="77777777" w:rsidR="00417583" w:rsidRPr="00417583" w:rsidRDefault="00417583" w:rsidP="00417583">
      <w:pPr>
        <w:ind w:firstLine="426"/>
        <w:jc w:val="both"/>
        <w:rPr>
          <w:rFonts w:eastAsia="Calibri"/>
          <w:color w:val="0070C0"/>
          <w:lang w:eastAsia="en-US"/>
        </w:rPr>
      </w:pPr>
      <w:r w:rsidRPr="00417583">
        <w:rPr>
          <w:rFonts w:eastAsia="Calibri"/>
          <w:color w:val="0070C0"/>
          <w:lang w:eastAsia="en-US"/>
        </w:rPr>
        <w:t xml:space="preserve"> </w:t>
      </w:r>
    </w:p>
    <w:p w14:paraId="38411010" w14:textId="77777777" w:rsidR="00417583" w:rsidRPr="002013A5" w:rsidRDefault="00417583" w:rsidP="0031388A">
      <w:pPr>
        <w:pStyle w:val="af1"/>
        <w:numPr>
          <w:ilvl w:val="0"/>
          <w:numId w:val="3"/>
        </w:numPr>
        <w:tabs>
          <w:tab w:val="left" w:pos="142"/>
          <w:tab w:val="left" w:pos="284"/>
          <w:tab w:val="left" w:pos="426"/>
          <w:tab w:val="left" w:pos="567"/>
          <w:tab w:val="left" w:pos="993"/>
        </w:tabs>
        <w:spacing w:after="0" w:line="240" w:lineRule="auto"/>
        <w:ind w:left="0" w:firstLine="567"/>
        <w:jc w:val="both"/>
        <w:rPr>
          <w:color w:val="0070C0"/>
        </w:rPr>
      </w:pPr>
      <w:r w:rsidRPr="00CD5E54">
        <w:rPr>
          <w:rFonts w:ascii="Times New Roman" w:hAnsi="Times New Roman"/>
          <w:sz w:val="24"/>
          <w:szCs w:val="24"/>
          <w:lang w:val="en-US"/>
        </w:rPr>
        <w:t>Below is a comparative analysis of the Fund’s activities and those of its international counterparts.</w:t>
      </w:r>
      <w:r w:rsidRPr="002013A5">
        <w:rPr>
          <w:color w:val="0070C0"/>
        </w:rPr>
        <w:tab/>
      </w:r>
    </w:p>
    <w:tbl>
      <w:tblPr>
        <w:tblStyle w:val="TableGrid1"/>
        <w:tblpPr w:leftFromText="180" w:rightFromText="180" w:vertAnchor="text" w:horzAnchor="margin" w:tblpY="75"/>
        <w:tblW w:w="9708" w:type="dxa"/>
        <w:tblInd w:w="0" w:type="dxa"/>
        <w:tblLook w:val="04A0" w:firstRow="1" w:lastRow="0" w:firstColumn="1" w:lastColumn="0" w:noHBand="0" w:noVBand="1"/>
      </w:tblPr>
      <w:tblGrid>
        <w:gridCol w:w="3539"/>
        <w:gridCol w:w="1656"/>
        <w:gridCol w:w="1410"/>
        <w:gridCol w:w="1845"/>
        <w:gridCol w:w="1258"/>
      </w:tblGrid>
      <w:tr w:rsidR="00417583" w:rsidRPr="00FA4B42" w14:paraId="587DECC3" w14:textId="77777777" w:rsidTr="00B41F89">
        <w:tc>
          <w:tcPr>
            <w:tcW w:w="3539" w:type="dxa"/>
          </w:tcPr>
          <w:p w14:paraId="3311F713" w14:textId="77777777" w:rsidR="00417583" w:rsidRPr="002013A5" w:rsidRDefault="002013A5" w:rsidP="006B4F86">
            <w:pPr>
              <w:rPr>
                <w:rFonts w:ascii="Times New Roman" w:hAnsi="Times New Roman" w:cs="Times New Roman"/>
                <w:lang w:val="kk-KZ"/>
              </w:rPr>
            </w:pPr>
            <w:r w:rsidRPr="00CD5E54">
              <w:rPr>
                <w:rFonts w:ascii="Times New Roman" w:hAnsi="Times New Roman" w:cs="Times New Roman"/>
                <w:b/>
                <w:bCs/>
                <w:color w:val="auto"/>
                <w:lang w:val="en-US"/>
              </w:rPr>
              <w:t>General statistics for 2022 by country</w:t>
            </w:r>
          </w:p>
        </w:tc>
        <w:tc>
          <w:tcPr>
            <w:tcW w:w="0" w:type="auto"/>
          </w:tcPr>
          <w:p w14:paraId="534075C2" w14:textId="77777777" w:rsidR="00417583" w:rsidRPr="00CD5E54" w:rsidRDefault="00417583" w:rsidP="006B4F86">
            <w:pPr>
              <w:jc w:val="center"/>
              <w:rPr>
                <w:rFonts w:ascii="Times New Roman" w:hAnsi="Times New Roman" w:cs="Times New Roman"/>
                <w:b/>
                <w:bCs/>
                <w:noProof/>
                <w:color w:val="000000" w:themeColor="text1"/>
                <w:kern w:val="24"/>
                <w:lang w:val="en-US"/>
              </w:rPr>
            </w:pPr>
          </w:p>
          <w:p w14:paraId="6AF275DB" w14:textId="77777777" w:rsidR="00417583" w:rsidRPr="002013A5" w:rsidRDefault="00417583" w:rsidP="006B4F86">
            <w:pPr>
              <w:jc w:val="center"/>
              <w:rPr>
                <w:rFonts w:ascii="Times New Roman" w:hAnsi="Times New Roman" w:cs="Times New Roman"/>
                <w:b/>
                <w:bCs/>
              </w:rPr>
            </w:pPr>
            <w:r w:rsidRPr="002013A5">
              <w:rPr>
                <w:b/>
                <w:bCs/>
                <w:noProof/>
                <w:color w:val="000000" w:themeColor="text1"/>
                <w:kern w:val="24"/>
              </w:rPr>
              <w:drawing>
                <wp:inline distT="0" distB="0" distL="0" distR="0" wp14:anchorId="3EAB82A1" wp14:editId="54BF2B8F">
                  <wp:extent cx="913238" cy="412430"/>
                  <wp:effectExtent l="0" t="0" r="1270" b="6985"/>
                  <wp:docPr id="1586432636" name="Picture 1586432636" descr="A logo with a green circle and blue text&#10;&#10;Description automatically generated">
                    <a:extLst xmlns:a="http://schemas.openxmlformats.org/drawingml/2006/main">
                      <a:ext uri="{FF2B5EF4-FFF2-40B4-BE49-F238E27FC236}">
                        <a16:creationId xmlns:a16="http://schemas.microsoft.com/office/drawing/2014/main" id="{26BFD243-E421-9788-1383-F25D01B84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2636" name="Picture 1586432636" descr="A logo with a green circle and blue text&#10;&#10;Description automatically generated">
                            <a:extLst>
                              <a:ext uri="{FF2B5EF4-FFF2-40B4-BE49-F238E27FC236}">
                                <a16:creationId xmlns:a16="http://schemas.microsoft.com/office/drawing/2014/main" id="{26BFD243-E421-9788-1383-F25D01B84EC4}"/>
                              </a:ext>
                            </a:extLst>
                          </pic:cNvPr>
                          <pic:cNvPicPr>
                            <a:picLocks noChangeAspect="1"/>
                          </pic:cNvPicPr>
                        </pic:nvPicPr>
                        <pic:blipFill>
                          <a:blip r:embed="rId40"/>
                          <a:stretch>
                            <a:fillRect/>
                          </a:stretch>
                        </pic:blipFill>
                        <pic:spPr>
                          <a:xfrm>
                            <a:off x="0" y="0"/>
                            <a:ext cx="913238" cy="412430"/>
                          </a:xfrm>
                          <a:prstGeom prst="rect">
                            <a:avLst/>
                          </a:prstGeom>
                        </pic:spPr>
                      </pic:pic>
                    </a:graphicData>
                  </a:graphic>
                </wp:inline>
              </w:drawing>
            </w:r>
          </w:p>
        </w:tc>
        <w:tc>
          <w:tcPr>
            <w:tcW w:w="0" w:type="auto"/>
          </w:tcPr>
          <w:p w14:paraId="72A03F5A" w14:textId="77777777" w:rsidR="00417583" w:rsidRPr="002013A5" w:rsidRDefault="00417583" w:rsidP="006B4F86">
            <w:pPr>
              <w:jc w:val="center"/>
              <w:rPr>
                <w:rFonts w:ascii="Times New Roman" w:hAnsi="Times New Roman" w:cs="Times New Roman"/>
                <w:b/>
                <w:bCs/>
              </w:rPr>
            </w:pPr>
            <w:r w:rsidRPr="002013A5">
              <w:rPr>
                <w:b/>
                <w:bCs/>
                <w:noProof/>
                <w:color w:val="000000" w:themeColor="text1"/>
                <w:kern w:val="24"/>
              </w:rPr>
              <w:drawing>
                <wp:inline distT="0" distB="0" distL="0" distR="0" wp14:anchorId="44F6FB52" wp14:editId="5214419E">
                  <wp:extent cx="667890" cy="731266"/>
                  <wp:effectExtent l="0" t="0" r="0" b="0"/>
                  <wp:docPr id="1037192277" name="Picture 1037192277" descr="A close-up of a logo&#10;&#10;Description automatically generated">
                    <a:extLst xmlns:a="http://schemas.openxmlformats.org/drawingml/2006/main">
                      <a:ext uri="{FF2B5EF4-FFF2-40B4-BE49-F238E27FC236}">
                        <a16:creationId xmlns:a16="http://schemas.microsoft.com/office/drawing/2014/main" id="{7937FCCF-C685-C01F-3AF5-37A42D386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92277" name="Picture 1037192277" descr="A close-up of a logo&#10;&#10;Description automatically generated">
                            <a:extLst>
                              <a:ext uri="{FF2B5EF4-FFF2-40B4-BE49-F238E27FC236}">
                                <a16:creationId xmlns:a16="http://schemas.microsoft.com/office/drawing/2014/main" id="{7937FCCF-C685-C01F-3AF5-37A42D386E37}"/>
                              </a:ext>
                            </a:extLst>
                          </pic:cNvPr>
                          <pic:cNvPicPr>
                            <a:picLocks noChangeAspect="1"/>
                          </pic:cNvPicPr>
                        </pic:nvPicPr>
                        <pic:blipFill>
                          <a:blip r:embed="rId41"/>
                          <a:stretch>
                            <a:fillRect/>
                          </a:stretch>
                        </pic:blipFill>
                        <pic:spPr>
                          <a:xfrm>
                            <a:off x="0" y="0"/>
                            <a:ext cx="667890" cy="731266"/>
                          </a:xfrm>
                          <a:prstGeom prst="rect">
                            <a:avLst/>
                          </a:prstGeom>
                        </pic:spPr>
                      </pic:pic>
                    </a:graphicData>
                  </a:graphic>
                </wp:inline>
              </w:drawing>
            </w:r>
          </w:p>
        </w:tc>
        <w:tc>
          <w:tcPr>
            <w:tcW w:w="0" w:type="auto"/>
          </w:tcPr>
          <w:p w14:paraId="08AB5603" w14:textId="77777777" w:rsidR="00417583" w:rsidRPr="002013A5" w:rsidRDefault="00417583" w:rsidP="006B4F86">
            <w:pPr>
              <w:jc w:val="center"/>
              <w:rPr>
                <w:rFonts w:ascii="Times New Roman" w:hAnsi="Times New Roman" w:cs="Times New Roman"/>
              </w:rPr>
            </w:pPr>
            <w:r w:rsidRPr="002013A5">
              <w:rPr>
                <w:b/>
                <w:bCs/>
                <w:noProof/>
                <w:color w:val="000000" w:themeColor="text1"/>
                <w:kern w:val="24"/>
              </w:rPr>
              <w:drawing>
                <wp:inline distT="0" distB="0" distL="0" distR="0" wp14:anchorId="6E263984" wp14:editId="4A1F5A62">
                  <wp:extent cx="994115" cy="552286"/>
                  <wp:effectExtent l="0" t="0" r="0" b="635"/>
                  <wp:docPr id="1366761859" name="Picture 1366761859" descr="A close up of a logo&#10;&#10;Description automatically generated">
                    <a:extLst xmlns:a="http://schemas.openxmlformats.org/drawingml/2006/main">
                      <a:ext uri="{FF2B5EF4-FFF2-40B4-BE49-F238E27FC236}">
                        <a16:creationId xmlns:a16="http://schemas.microsoft.com/office/drawing/2014/main" id="{492992FB-0B97-9E17-91DA-2CB6057E4D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61859" name="Picture 1366761859" descr="A close up of a logo&#10;&#10;Description automatically generated">
                            <a:extLst>
                              <a:ext uri="{FF2B5EF4-FFF2-40B4-BE49-F238E27FC236}">
                                <a16:creationId xmlns:a16="http://schemas.microsoft.com/office/drawing/2014/main" id="{492992FB-0B97-9E17-91DA-2CB6057E4D31}"/>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4115" cy="552286"/>
                          </a:xfrm>
                          <a:prstGeom prst="rect">
                            <a:avLst/>
                          </a:prstGeom>
                          <a:ln>
                            <a:noFill/>
                          </a:ln>
                        </pic:spPr>
                      </pic:pic>
                    </a:graphicData>
                  </a:graphic>
                </wp:inline>
              </w:drawing>
            </w:r>
          </w:p>
        </w:tc>
        <w:tc>
          <w:tcPr>
            <w:tcW w:w="0" w:type="auto"/>
          </w:tcPr>
          <w:p w14:paraId="300F5D60" w14:textId="77777777" w:rsidR="00417583" w:rsidRPr="002013A5" w:rsidRDefault="00417583" w:rsidP="006B4F86">
            <w:pPr>
              <w:jc w:val="center"/>
              <w:rPr>
                <w:rFonts w:ascii="Times New Roman" w:hAnsi="Times New Roman" w:cs="Times New Roman"/>
              </w:rPr>
            </w:pPr>
            <w:r w:rsidRPr="002013A5">
              <w:rPr>
                <w:b/>
                <w:bCs/>
                <w:noProof/>
                <w:color w:val="000000" w:themeColor="text1"/>
                <w:kern w:val="24"/>
              </w:rPr>
              <w:drawing>
                <wp:inline distT="0" distB="0" distL="0" distR="0" wp14:anchorId="0B2882B8" wp14:editId="2C2B9261">
                  <wp:extent cx="553895" cy="430924"/>
                  <wp:effectExtent l="0" t="0" r="0" b="7620"/>
                  <wp:docPr id="219804375" name="Picture 219804375" descr="A logo with black and blue squares&#10;&#10;Description automatically generated">
                    <a:extLst xmlns:a="http://schemas.openxmlformats.org/drawingml/2006/main">
                      <a:ext uri="{FF2B5EF4-FFF2-40B4-BE49-F238E27FC236}">
                        <a16:creationId xmlns:a16="http://schemas.microsoft.com/office/drawing/2014/main" id="{25EA562F-275E-A266-1B15-731E82C9A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04375" name="Picture 219804375" descr="A logo with black and blue squares&#10;&#10;Description automatically generated">
                            <a:extLst>
                              <a:ext uri="{FF2B5EF4-FFF2-40B4-BE49-F238E27FC236}">
                                <a16:creationId xmlns:a16="http://schemas.microsoft.com/office/drawing/2014/main" id="{25EA562F-275E-A266-1B15-731E82C9AA4B}"/>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55019" cy="431799"/>
                          </a:xfrm>
                          <a:prstGeom prst="rect">
                            <a:avLst/>
                          </a:prstGeom>
                        </pic:spPr>
                      </pic:pic>
                    </a:graphicData>
                  </a:graphic>
                </wp:inline>
              </w:drawing>
            </w:r>
            <w:r w:rsidRPr="002013A5">
              <w:rPr>
                <w:rStyle w:val="a5"/>
                <w:noProof/>
                <w:color w:val="0070C0"/>
              </w:rPr>
              <w:drawing>
                <wp:inline distT="0" distB="0" distL="0" distR="0" wp14:anchorId="1E9B5C4C" wp14:editId="28867ABD">
                  <wp:extent cx="470010" cy="369435"/>
                  <wp:effectExtent l="0" t="0" r="6350" b="0"/>
                  <wp:docPr id="746353562" name="Picture 1" descr="KGF – AE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F – AEC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77892" cy="375630"/>
                          </a:xfrm>
                          <a:prstGeom prst="rect">
                            <a:avLst/>
                          </a:prstGeom>
                          <a:noFill/>
                          <a:ln>
                            <a:noFill/>
                          </a:ln>
                        </pic:spPr>
                      </pic:pic>
                    </a:graphicData>
                  </a:graphic>
                </wp:inline>
              </w:drawing>
            </w:r>
          </w:p>
        </w:tc>
      </w:tr>
      <w:tr w:rsidR="00417583" w:rsidRPr="00AB68BA" w14:paraId="66DB53AE" w14:textId="77777777" w:rsidTr="00B41F89">
        <w:trPr>
          <w:trHeight w:val="639"/>
        </w:trPr>
        <w:tc>
          <w:tcPr>
            <w:tcW w:w="3539" w:type="dxa"/>
          </w:tcPr>
          <w:p w14:paraId="71F0DA37" w14:textId="77777777" w:rsidR="00417583" w:rsidRPr="00CD5E54" w:rsidRDefault="00417583" w:rsidP="006B4F86">
            <w:pPr>
              <w:rPr>
                <w:rFonts w:ascii="Times New Roman" w:hAnsi="Times New Roman" w:cs="Times New Roman"/>
                <w:lang w:val="en-US"/>
              </w:rPr>
            </w:pPr>
            <w:r w:rsidRPr="00CD5E54">
              <w:rPr>
                <w:rFonts w:ascii="Times New Roman" w:hAnsi="Times New Roman" w:cs="Times New Roman"/>
                <w:bCs/>
                <w:lang w:val="en-US"/>
              </w:rPr>
              <w:t>The right to vote in government bodies</w:t>
            </w:r>
          </w:p>
        </w:tc>
        <w:tc>
          <w:tcPr>
            <w:tcW w:w="0" w:type="auto"/>
            <w:vAlign w:val="center"/>
          </w:tcPr>
          <w:p w14:paraId="3FF066F8"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678720" behindDoc="0" locked="0" layoutInCell="1" allowOverlap="1" wp14:anchorId="65B44E11" wp14:editId="5123CF92">
                      <wp:simplePos x="0" y="0"/>
                      <wp:positionH relativeFrom="column">
                        <wp:posOffset>260350</wp:posOffset>
                      </wp:positionH>
                      <wp:positionV relativeFrom="paragraph">
                        <wp:posOffset>-78105</wp:posOffset>
                      </wp:positionV>
                      <wp:extent cx="468630" cy="273685"/>
                      <wp:effectExtent l="0" t="0" r="0" b="0"/>
                      <wp:wrapNone/>
                      <wp:docPr id="184"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7EA33" id="Минус 183" o:spid="_x0000_s1026" style="position:absolute;margin-left:20.5pt;margin-top:-6.15pt;width:36.9pt;height:2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04AAFCA8"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679744" behindDoc="0" locked="0" layoutInCell="1" allowOverlap="1" wp14:anchorId="65DEF55E" wp14:editId="3578157A">
                      <wp:simplePos x="0" y="0"/>
                      <wp:positionH relativeFrom="column">
                        <wp:posOffset>183515</wp:posOffset>
                      </wp:positionH>
                      <wp:positionV relativeFrom="paragraph">
                        <wp:posOffset>-2344</wp:posOffset>
                      </wp:positionV>
                      <wp:extent cx="333375" cy="328930"/>
                      <wp:effectExtent l="0" t="0" r="0" b="0"/>
                      <wp:wrapNone/>
                      <wp:docPr id="1646028454"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10D8D2" id="Плюс 185" o:spid="_x0000_s1026" style="position:absolute;margin-left:14.45pt;margin-top:-.2pt;width:26.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2EAB743A" w14:textId="77777777" w:rsidR="00417583" w:rsidRPr="00CD5E54" w:rsidRDefault="00765391" w:rsidP="006B4F86">
            <w:pPr>
              <w:rPr>
                <w:rFonts w:ascii="Times New Roman" w:hAnsi="Times New Roman" w:cs="Times New Roman"/>
                <w:lang w:val="en-US"/>
              </w:rPr>
            </w:pPr>
            <w:r w:rsidRPr="002013A5">
              <w:rPr>
                <w:noProof/>
              </w:rPr>
              <mc:AlternateContent>
                <mc:Choice Requires="wps">
                  <w:drawing>
                    <wp:anchor distT="0" distB="0" distL="114300" distR="114300" simplePos="0" relativeHeight="251722752" behindDoc="0" locked="0" layoutInCell="1" allowOverlap="1" wp14:anchorId="5ADCCC99" wp14:editId="63A1FD45">
                      <wp:simplePos x="0" y="0"/>
                      <wp:positionH relativeFrom="column">
                        <wp:posOffset>256678</wp:posOffset>
                      </wp:positionH>
                      <wp:positionV relativeFrom="paragraph">
                        <wp:posOffset>-10657</wp:posOffset>
                      </wp:positionV>
                      <wp:extent cx="468630" cy="273685"/>
                      <wp:effectExtent l="0" t="0" r="0" b="0"/>
                      <wp:wrapNone/>
                      <wp:docPr id="2"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36310B" id="Минус 183" o:spid="_x0000_s1026" style="position:absolute;margin-left:20.2pt;margin-top:-.85pt;width:36.9pt;height:21.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02969B95"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677696" behindDoc="0" locked="0" layoutInCell="1" allowOverlap="1" wp14:anchorId="587E2B4A" wp14:editId="7B4F8CF2">
                      <wp:simplePos x="0" y="0"/>
                      <wp:positionH relativeFrom="column">
                        <wp:posOffset>213360</wp:posOffset>
                      </wp:positionH>
                      <wp:positionV relativeFrom="paragraph">
                        <wp:posOffset>-19685</wp:posOffset>
                      </wp:positionV>
                      <wp:extent cx="333375" cy="328930"/>
                      <wp:effectExtent l="0" t="0" r="0" b="0"/>
                      <wp:wrapNone/>
                      <wp:docPr id="3"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4519E8" id="Плюс 185" o:spid="_x0000_s1026" style="position:absolute;margin-left:16.8pt;margin-top:-1.55pt;width:26.25pt;height:2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r w:rsidR="00417583" w:rsidRPr="002013A5" w14:paraId="22DC6DA4" w14:textId="77777777" w:rsidTr="00B41F89">
        <w:tc>
          <w:tcPr>
            <w:tcW w:w="3539" w:type="dxa"/>
          </w:tcPr>
          <w:p w14:paraId="07262F08" w14:textId="77777777" w:rsidR="00417583" w:rsidRPr="002013A5" w:rsidRDefault="00417583" w:rsidP="006B4F86">
            <w:pPr>
              <w:rPr>
                <w:rFonts w:ascii="Times New Roman" w:hAnsi="Times New Roman" w:cs="Times New Roman"/>
              </w:rPr>
            </w:pPr>
            <w:r w:rsidRPr="002013A5">
              <w:rPr>
                <w:rFonts w:ascii="Times New Roman" w:hAnsi="Times New Roman" w:cs="Times New Roman"/>
                <w:bCs/>
              </w:rPr>
              <w:t>Geography</w:t>
            </w:r>
          </w:p>
        </w:tc>
        <w:tc>
          <w:tcPr>
            <w:tcW w:w="0" w:type="auto"/>
          </w:tcPr>
          <w:p w14:paraId="5EE6F0D7" w14:textId="77777777" w:rsidR="00417583" w:rsidRPr="002013A5" w:rsidRDefault="00417583" w:rsidP="006B4F86">
            <w:pPr>
              <w:jc w:val="center"/>
              <w:rPr>
                <w:rFonts w:ascii="Times New Roman" w:hAnsi="Times New Roman" w:cs="Times New Roman"/>
                <w:bCs/>
              </w:rPr>
            </w:pPr>
            <w:r w:rsidRPr="002013A5">
              <w:rPr>
                <w:rFonts w:ascii="Times New Roman" w:hAnsi="Times New Roman" w:cs="Times New Roman"/>
                <w:bCs/>
              </w:rPr>
              <w:t>Int.</w:t>
            </w:r>
          </w:p>
        </w:tc>
        <w:tc>
          <w:tcPr>
            <w:tcW w:w="0" w:type="auto"/>
          </w:tcPr>
          <w:p w14:paraId="5CB24504" w14:textId="77777777" w:rsidR="00417583" w:rsidRPr="002013A5" w:rsidRDefault="00417583" w:rsidP="006B4F86">
            <w:pPr>
              <w:jc w:val="center"/>
              <w:rPr>
                <w:rFonts w:ascii="Times New Roman" w:hAnsi="Times New Roman" w:cs="Times New Roman"/>
                <w:bCs/>
              </w:rPr>
            </w:pPr>
            <w:r w:rsidRPr="002013A5">
              <w:rPr>
                <w:rFonts w:ascii="Times New Roman" w:hAnsi="Times New Roman" w:cs="Times New Roman"/>
                <w:bCs/>
              </w:rPr>
              <w:t>Internal and external</w:t>
            </w:r>
          </w:p>
        </w:tc>
        <w:tc>
          <w:tcPr>
            <w:tcW w:w="0" w:type="auto"/>
          </w:tcPr>
          <w:p w14:paraId="3E0E8D49" w14:textId="77777777" w:rsidR="00417583" w:rsidRPr="002013A5" w:rsidRDefault="00417583" w:rsidP="006B4F86">
            <w:pPr>
              <w:jc w:val="center"/>
              <w:rPr>
                <w:rFonts w:ascii="Times New Roman" w:hAnsi="Times New Roman" w:cs="Times New Roman"/>
                <w:bCs/>
              </w:rPr>
            </w:pPr>
            <w:r w:rsidRPr="002013A5">
              <w:rPr>
                <w:rFonts w:ascii="Times New Roman" w:hAnsi="Times New Roman" w:cs="Times New Roman"/>
                <w:bCs/>
              </w:rPr>
              <w:t>Internal and external</w:t>
            </w:r>
          </w:p>
        </w:tc>
        <w:tc>
          <w:tcPr>
            <w:tcW w:w="0" w:type="auto"/>
          </w:tcPr>
          <w:p w14:paraId="4F4EF366" w14:textId="77777777" w:rsidR="00417583" w:rsidRPr="002013A5" w:rsidRDefault="00765391" w:rsidP="006B4F86">
            <w:pPr>
              <w:jc w:val="center"/>
              <w:rPr>
                <w:rFonts w:ascii="Times New Roman" w:hAnsi="Times New Roman" w:cs="Times New Roman"/>
                <w:bCs/>
              </w:rPr>
            </w:pPr>
            <w:r w:rsidRPr="002013A5">
              <w:rPr>
                <w:noProof/>
              </w:rPr>
              <mc:AlternateContent>
                <mc:Choice Requires="wps">
                  <w:drawing>
                    <wp:anchor distT="0" distB="0" distL="114300" distR="114300" simplePos="0" relativeHeight="251724800" behindDoc="0" locked="0" layoutInCell="1" allowOverlap="1" wp14:anchorId="35DF22AA" wp14:editId="4C41AC3F">
                      <wp:simplePos x="0" y="0"/>
                      <wp:positionH relativeFrom="column">
                        <wp:posOffset>151709</wp:posOffset>
                      </wp:positionH>
                      <wp:positionV relativeFrom="paragraph">
                        <wp:posOffset>-180036</wp:posOffset>
                      </wp:positionV>
                      <wp:extent cx="468630" cy="273685"/>
                      <wp:effectExtent l="0" t="0" r="0" b="0"/>
                      <wp:wrapNone/>
                      <wp:docPr id="1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A9F19" id="Минус 183" o:spid="_x0000_s1026" style="position:absolute;margin-left:11.95pt;margin-top:-14.2pt;width:36.9pt;height:21.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r w:rsidR="00417583" w:rsidRPr="002013A5">
              <w:rPr>
                <w:rFonts w:ascii="Times New Roman" w:hAnsi="Times New Roman" w:cs="Times New Roman"/>
                <w:bCs/>
              </w:rPr>
              <w:t>Internal and external</w:t>
            </w:r>
          </w:p>
        </w:tc>
      </w:tr>
      <w:tr w:rsidR="00417583" w:rsidRPr="002013A5" w14:paraId="0D2F75EC" w14:textId="77777777" w:rsidTr="00B41F89">
        <w:tc>
          <w:tcPr>
            <w:tcW w:w="3539" w:type="dxa"/>
          </w:tcPr>
          <w:p w14:paraId="7D670165"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Guarantee</w:t>
            </w:r>
          </w:p>
        </w:tc>
        <w:tc>
          <w:tcPr>
            <w:tcW w:w="0" w:type="auto"/>
          </w:tcPr>
          <w:p w14:paraId="73AD7134"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3840" behindDoc="0" locked="0" layoutInCell="1" allowOverlap="1" wp14:anchorId="0E79DA96" wp14:editId="73C35CF8">
                      <wp:simplePos x="0" y="0"/>
                      <wp:positionH relativeFrom="column">
                        <wp:posOffset>3263265</wp:posOffset>
                      </wp:positionH>
                      <wp:positionV relativeFrom="paragraph">
                        <wp:posOffset>-10160</wp:posOffset>
                      </wp:positionV>
                      <wp:extent cx="333375" cy="328930"/>
                      <wp:effectExtent l="0" t="0" r="0" b="0"/>
                      <wp:wrapNone/>
                      <wp:docPr id="1256869931"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E0137A" id="Плюс 185" o:spid="_x0000_s1026" style="position:absolute;margin-left:256.95pt;margin-top:-.8pt;width:26.25pt;height:2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r w:rsidRPr="002013A5">
              <w:rPr>
                <w:noProof/>
              </w:rPr>
              <mc:AlternateContent>
                <mc:Choice Requires="wps">
                  <w:drawing>
                    <wp:anchor distT="0" distB="0" distL="114300" distR="114300" simplePos="0" relativeHeight="251707392" behindDoc="0" locked="0" layoutInCell="1" allowOverlap="1" wp14:anchorId="28D283F1" wp14:editId="2F1C72F8">
                      <wp:simplePos x="0" y="0"/>
                      <wp:positionH relativeFrom="column">
                        <wp:posOffset>2176145</wp:posOffset>
                      </wp:positionH>
                      <wp:positionV relativeFrom="paragraph">
                        <wp:posOffset>-6985</wp:posOffset>
                      </wp:positionV>
                      <wp:extent cx="468630" cy="273685"/>
                      <wp:effectExtent l="0" t="0" r="0" b="0"/>
                      <wp:wrapNone/>
                      <wp:docPr id="132567611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22615E" id="Минус 183" o:spid="_x0000_s1026" style="position:absolute;margin-left:171.35pt;margin-top:-.55pt;width:36.9pt;height:2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r w:rsidRPr="002013A5">
              <w:rPr>
                <w:noProof/>
              </w:rPr>
              <mc:AlternateContent>
                <mc:Choice Requires="wps">
                  <w:drawing>
                    <wp:anchor distT="0" distB="0" distL="114300" distR="114300" simplePos="0" relativeHeight="251682816" behindDoc="0" locked="0" layoutInCell="1" allowOverlap="1" wp14:anchorId="71735355" wp14:editId="7050C967">
                      <wp:simplePos x="0" y="0"/>
                      <wp:positionH relativeFrom="column">
                        <wp:posOffset>1245870</wp:posOffset>
                      </wp:positionH>
                      <wp:positionV relativeFrom="paragraph">
                        <wp:posOffset>-10160</wp:posOffset>
                      </wp:positionV>
                      <wp:extent cx="333375" cy="328930"/>
                      <wp:effectExtent l="0" t="0" r="0" b="0"/>
                      <wp:wrapNone/>
                      <wp:docPr id="86079928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B6084" id="Плюс 185" o:spid="_x0000_s1026" style="position:absolute;margin-left:98.1pt;margin-top:-.8pt;width:26.25pt;height: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r w:rsidRPr="002013A5">
              <w:rPr>
                <w:noProof/>
              </w:rPr>
              <mc:AlternateContent>
                <mc:Choice Requires="wps">
                  <w:drawing>
                    <wp:anchor distT="0" distB="0" distL="114300" distR="114300" simplePos="0" relativeHeight="251681792" behindDoc="0" locked="0" layoutInCell="1" allowOverlap="1" wp14:anchorId="664B796A" wp14:editId="787DC13A">
                      <wp:simplePos x="0" y="0"/>
                      <wp:positionH relativeFrom="column">
                        <wp:posOffset>299720</wp:posOffset>
                      </wp:positionH>
                      <wp:positionV relativeFrom="paragraph">
                        <wp:posOffset>-3044</wp:posOffset>
                      </wp:positionV>
                      <wp:extent cx="333375" cy="328930"/>
                      <wp:effectExtent l="0" t="0" r="0" b="0"/>
                      <wp:wrapNone/>
                      <wp:docPr id="18005049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80973C" id="Плюс 185" o:spid="_x0000_s1026" style="position:absolute;margin-left:23.6pt;margin-top:-.25pt;width:26.25pt;height:2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5FDCDF49" w14:textId="77777777" w:rsidR="00417583" w:rsidRPr="002013A5" w:rsidRDefault="00417583" w:rsidP="006B4F86">
            <w:pPr>
              <w:jc w:val="center"/>
              <w:rPr>
                <w:rFonts w:ascii="Times New Roman" w:hAnsi="Times New Roman" w:cs="Times New Roman"/>
              </w:rPr>
            </w:pPr>
          </w:p>
        </w:tc>
        <w:tc>
          <w:tcPr>
            <w:tcW w:w="0" w:type="auto"/>
          </w:tcPr>
          <w:p w14:paraId="376ED60D" w14:textId="77777777" w:rsidR="00417583" w:rsidRPr="002013A5" w:rsidRDefault="00417583" w:rsidP="006B4F86">
            <w:pPr>
              <w:jc w:val="center"/>
              <w:rPr>
                <w:rFonts w:ascii="Times New Roman" w:hAnsi="Times New Roman" w:cs="Times New Roman"/>
              </w:rPr>
            </w:pPr>
          </w:p>
        </w:tc>
        <w:tc>
          <w:tcPr>
            <w:tcW w:w="0" w:type="auto"/>
          </w:tcPr>
          <w:p w14:paraId="32168518" w14:textId="77777777" w:rsidR="00417583" w:rsidRPr="002013A5" w:rsidRDefault="00417583" w:rsidP="006B4F86">
            <w:pPr>
              <w:jc w:val="center"/>
              <w:rPr>
                <w:rFonts w:ascii="Times New Roman" w:hAnsi="Times New Roman" w:cs="Times New Roman"/>
              </w:rPr>
            </w:pPr>
          </w:p>
        </w:tc>
        <w:tc>
          <w:tcPr>
            <w:tcW w:w="0" w:type="auto"/>
          </w:tcPr>
          <w:p w14:paraId="24FCB16D" w14:textId="77777777" w:rsidR="00417583" w:rsidRPr="002013A5" w:rsidRDefault="00417583" w:rsidP="006B4F86">
            <w:pPr>
              <w:jc w:val="center"/>
              <w:rPr>
                <w:rFonts w:ascii="Times New Roman" w:hAnsi="Times New Roman" w:cs="Times New Roman"/>
              </w:rPr>
            </w:pPr>
          </w:p>
        </w:tc>
      </w:tr>
      <w:tr w:rsidR="00417583" w:rsidRPr="002013A5" w14:paraId="3BE82E49" w14:textId="77777777" w:rsidTr="00B41F89">
        <w:tc>
          <w:tcPr>
            <w:tcW w:w="3539" w:type="dxa"/>
          </w:tcPr>
          <w:p w14:paraId="70CB919C" w14:textId="77777777" w:rsidR="00417583" w:rsidRPr="002013A5" w:rsidRDefault="00417583" w:rsidP="006B4F86">
            <w:pPr>
              <w:rPr>
                <w:rFonts w:ascii="Times New Roman" w:hAnsi="Times New Roman" w:cs="Times New Roman"/>
              </w:rPr>
            </w:pPr>
            <w:r w:rsidRPr="002013A5">
              <w:rPr>
                <w:rFonts w:ascii="Times New Roman" w:hAnsi="Times New Roman" w:cs="Times New Roman"/>
                <w:bCs/>
              </w:rPr>
              <w:t>Grants</w:t>
            </w:r>
          </w:p>
        </w:tc>
        <w:tc>
          <w:tcPr>
            <w:tcW w:w="0" w:type="auto"/>
          </w:tcPr>
          <w:p w14:paraId="4C9DF453"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4864" behindDoc="0" locked="0" layoutInCell="1" allowOverlap="1" wp14:anchorId="0B6AD997" wp14:editId="1D2A3193">
                      <wp:simplePos x="0" y="0"/>
                      <wp:positionH relativeFrom="column">
                        <wp:posOffset>261257</wp:posOffset>
                      </wp:positionH>
                      <wp:positionV relativeFrom="paragraph">
                        <wp:posOffset>9706</wp:posOffset>
                      </wp:positionV>
                      <wp:extent cx="468630" cy="273685"/>
                      <wp:effectExtent l="0" t="0" r="0" b="0"/>
                      <wp:wrapNone/>
                      <wp:docPr id="880645737"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0DBAE" id="Минус 183" o:spid="_x0000_s1026" style="position:absolute;margin-left:20.55pt;margin-top:.75pt;width:36.9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62B2E825" w14:textId="77777777" w:rsidR="00417583" w:rsidRPr="002013A5" w:rsidRDefault="00417583" w:rsidP="006B4F86">
            <w:pPr>
              <w:jc w:val="center"/>
              <w:rPr>
                <w:rFonts w:ascii="Times New Roman" w:hAnsi="Times New Roman" w:cs="Times New Roman"/>
              </w:rPr>
            </w:pPr>
          </w:p>
        </w:tc>
        <w:tc>
          <w:tcPr>
            <w:tcW w:w="0" w:type="auto"/>
          </w:tcPr>
          <w:p w14:paraId="0480C509"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6912" behindDoc="0" locked="0" layoutInCell="1" allowOverlap="1" wp14:anchorId="76BCA552" wp14:editId="3E1F4196">
                      <wp:simplePos x="0" y="0"/>
                      <wp:positionH relativeFrom="column">
                        <wp:posOffset>158840</wp:posOffset>
                      </wp:positionH>
                      <wp:positionV relativeFrom="paragraph">
                        <wp:posOffset>-10976</wp:posOffset>
                      </wp:positionV>
                      <wp:extent cx="468630" cy="273685"/>
                      <wp:effectExtent l="0" t="0" r="0" b="0"/>
                      <wp:wrapNone/>
                      <wp:docPr id="898522200"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82EDA6" id="Минус 183" o:spid="_x0000_s1026" style="position:absolute;margin-left:12.5pt;margin-top:-.85pt;width:36.9pt;height:2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5B13ABD5" w14:textId="77777777" w:rsidR="00417583" w:rsidRPr="002013A5" w:rsidRDefault="00417583" w:rsidP="006B4F86">
            <w:pPr>
              <w:jc w:val="center"/>
              <w:rPr>
                <w:rFonts w:ascii="Times New Roman" w:hAnsi="Times New Roman" w:cs="Times New Roman"/>
              </w:rPr>
            </w:pPr>
          </w:p>
        </w:tc>
        <w:tc>
          <w:tcPr>
            <w:tcW w:w="0" w:type="auto"/>
          </w:tcPr>
          <w:p w14:paraId="1CB3E1BF"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5888" behindDoc="0" locked="0" layoutInCell="1" allowOverlap="1" wp14:anchorId="5023E8A4" wp14:editId="0CA0AA8E">
                      <wp:simplePos x="0" y="0"/>
                      <wp:positionH relativeFrom="column">
                        <wp:posOffset>-791845</wp:posOffset>
                      </wp:positionH>
                      <wp:positionV relativeFrom="paragraph">
                        <wp:posOffset>-8890</wp:posOffset>
                      </wp:positionV>
                      <wp:extent cx="310515" cy="328930"/>
                      <wp:effectExtent l="0" t="0" r="0" b="0"/>
                      <wp:wrapNone/>
                      <wp:docPr id="1733013613" name="Плюс 185"/>
                      <wp:cNvGraphicFramePr/>
                      <a:graphic xmlns:a="http://schemas.openxmlformats.org/drawingml/2006/main">
                        <a:graphicData uri="http://schemas.microsoft.com/office/word/2010/wordprocessingShape">
                          <wps:wsp>
                            <wps:cNvSpPr/>
                            <wps:spPr>
                              <a:xfrm>
                                <a:off x="0" y="0"/>
                                <a:ext cx="31051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073F6" id="Плюс 185" o:spid="_x0000_s1026" style="position:absolute;margin-left:-62.35pt;margin-top:-.7pt;width:24.45pt;height:2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51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" path="m41159,127948r77582,l118741,43600r73033,l191774,127948r77582,l269356,200982r-77582,l191774,285330r-73033,l118741,200982r-77582,l41159,127948xe" fillcolor="#0070c0" strokecolor="#1f4d78 [1604]" strokeweight="1pt">
                      <v:stroke joinstyle="miter"/>
                      <v:path arrowok="t" o:connecttype="custom" o:connectlocs="41159,127948;118741,127948;118741,43600;191774,43600;191774,127948;269356,127948;269356,200982;191774,200982;191774,285330;118741,285330;118741,200982;41159,200982;41159,127948" o:connectangles="0,0,0,0,0,0,0,0,0,0,0,0,0"/>
                    </v:shape>
                  </w:pict>
                </mc:Fallback>
              </mc:AlternateContent>
            </w:r>
            <w:r w:rsidRPr="002013A5">
              <w:rPr>
                <w:noProof/>
              </w:rPr>
              <mc:AlternateContent>
                <mc:Choice Requires="wps">
                  <w:drawing>
                    <wp:anchor distT="0" distB="0" distL="114300" distR="114300" simplePos="0" relativeHeight="251687936" behindDoc="0" locked="0" layoutInCell="1" allowOverlap="1" wp14:anchorId="0ABBCE4C" wp14:editId="61E602BD">
                      <wp:simplePos x="0" y="0"/>
                      <wp:positionH relativeFrom="column">
                        <wp:posOffset>245647</wp:posOffset>
                      </wp:positionH>
                      <wp:positionV relativeFrom="paragraph">
                        <wp:posOffset>-8498</wp:posOffset>
                      </wp:positionV>
                      <wp:extent cx="311085" cy="328930"/>
                      <wp:effectExtent l="0" t="0" r="0" b="0"/>
                      <wp:wrapNone/>
                      <wp:docPr id="1280271803" name="Плюс 185"/>
                      <wp:cNvGraphicFramePr/>
                      <a:graphic xmlns:a="http://schemas.openxmlformats.org/drawingml/2006/main">
                        <a:graphicData uri="http://schemas.microsoft.com/office/word/2010/wordprocessingShape">
                          <wps:wsp>
                            <wps:cNvSpPr/>
                            <wps:spPr>
                              <a:xfrm>
                                <a:off x="0" y="0"/>
                                <a:ext cx="31108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266EB" id="Плюс 185" o:spid="_x0000_s1026" style="position:absolute;margin-left:19.35pt;margin-top:-.65pt;width:24.5pt;height:2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08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" path="m41234,127881r77725,l118959,43600r73167,l192126,127881r77725,l269851,201049r-77725,l192126,285330r-73167,l118959,201049r-77725,l41234,127881xe" fillcolor="#0070c0" strokecolor="#1f4d78 [1604]" strokeweight="1pt">
                      <v:stroke joinstyle="miter"/>
                      <v:path arrowok="t" o:connecttype="custom" o:connectlocs="41234,127881;118959,127881;118959,43600;192126,43600;192126,127881;269851,127881;269851,201049;192126,201049;192126,285330;118959,285330;118959,201049;41234,201049;41234,127881" o:connectangles="0,0,0,0,0,0,0,0,0,0,0,0,0"/>
                    </v:shape>
                  </w:pict>
                </mc:Fallback>
              </mc:AlternateContent>
            </w:r>
          </w:p>
        </w:tc>
      </w:tr>
      <w:tr w:rsidR="00417583" w:rsidRPr="002013A5" w14:paraId="2D815635" w14:textId="77777777" w:rsidTr="00B41F89">
        <w:tc>
          <w:tcPr>
            <w:tcW w:w="3539" w:type="dxa"/>
          </w:tcPr>
          <w:p w14:paraId="55446E73"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Subsidies</w:t>
            </w:r>
          </w:p>
        </w:tc>
        <w:tc>
          <w:tcPr>
            <w:tcW w:w="0" w:type="auto"/>
          </w:tcPr>
          <w:p w14:paraId="3D4E1A01"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8960" behindDoc="0" locked="0" layoutInCell="1" allowOverlap="1" wp14:anchorId="5003F14A" wp14:editId="424C7B8D">
                      <wp:simplePos x="0" y="0"/>
                      <wp:positionH relativeFrom="column">
                        <wp:posOffset>302018</wp:posOffset>
                      </wp:positionH>
                      <wp:positionV relativeFrom="paragraph">
                        <wp:posOffset>-13270</wp:posOffset>
                      </wp:positionV>
                      <wp:extent cx="333375" cy="328930"/>
                      <wp:effectExtent l="0" t="0" r="0" b="0"/>
                      <wp:wrapNone/>
                      <wp:docPr id="852771075"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5E4EA" id="Плюс 185" o:spid="_x0000_s1026" style="position:absolute;margin-left:23.8pt;margin-top:-1.05pt;width:26.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7848653D" w14:textId="77777777" w:rsidR="00417583" w:rsidRPr="002013A5" w:rsidRDefault="00417583" w:rsidP="006B4F86">
            <w:pPr>
              <w:jc w:val="center"/>
              <w:rPr>
                <w:rFonts w:ascii="Times New Roman" w:hAnsi="Times New Roman" w:cs="Times New Roman"/>
              </w:rPr>
            </w:pPr>
          </w:p>
        </w:tc>
        <w:tc>
          <w:tcPr>
            <w:tcW w:w="0" w:type="auto"/>
          </w:tcPr>
          <w:p w14:paraId="0C60BCF0"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5344" behindDoc="0" locked="0" layoutInCell="1" allowOverlap="1" wp14:anchorId="0B2C97A2" wp14:editId="48C1D94C">
                      <wp:simplePos x="0" y="0"/>
                      <wp:positionH relativeFrom="column">
                        <wp:posOffset>138332</wp:posOffset>
                      </wp:positionH>
                      <wp:positionV relativeFrom="paragraph">
                        <wp:posOffset>45962</wp:posOffset>
                      </wp:positionV>
                      <wp:extent cx="468630" cy="273685"/>
                      <wp:effectExtent l="0" t="0" r="0" b="0"/>
                      <wp:wrapNone/>
                      <wp:docPr id="1807583621"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6C01A" id="Минус 183" o:spid="_x0000_s1026" style="position:absolute;margin-left:10.9pt;margin-top:3.6pt;width:36.9pt;height:2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763D0CB0"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6368" behindDoc="0" locked="0" layoutInCell="1" allowOverlap="1" wp14:anchorId="4FBA2255" wp14:editId="32C3FC09">
                      <wp:simplePos x="0" y="0"/>
                      <wp:positionH relativeFrom="column">
                        <wp:posOffset>267630</wp:posOffset>
                      </wp:positionH>
                      <wp:positionV relativeFrom="paragraph">
                        <wp:posOffset>36097</wp:posOffset>
                      </wp:positionV>
                      <wp:extent cx="468630" cy="273685"/>
                      <wp:effectExtent l="0" t="0" r="0" b="0"/>
                      <wp:wrapNone/>
                      <wp:docPr id="51020439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B214A" id="Минус 183" o:spid="_x0000_s1026" style="position:absolute;margin-left:21.05pt;margin-top:2.85pt;width:36.9pt;height:2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1F1CC369"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2272" behindDoc="0" locked="0" layoutInCell="1" allowOverlap="1" wp14:anchorId="23A8A0FD" wp14:editId="1734DAD6">
                      <wp:simplePos x="0" y="0"/>
                      <wp:positionH relativeFrom="column">
                        <wp:posOffset>220529</wp:posOffset>
                      </wp:positionH>
                      <wp:positionV relativeFrom="paragraph">
                        <wp:posOffset>27108</wp:posOffset>
                      </wp:positionV>
                      <wp:extent cx="333375" cy="328930"/>
                      <wp:effectExtent l="0" t="0" r="0" b="0"/>
                      <wp:wrapNone/>
                      <wp:docPr id="125561101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C60C6" id="Плюс 185" o:spid="_x0000_s1026" style="position:absolute;margin-left:17.35pt;margin-top:2.15pt;width:26.25pt;height:2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r w:rsidR="00417583" w:rsidRPr="002013A5" w14:paraId="3D928974" w14:textId="77777777" w:rsidTr="00B41F89">
        <w:tc>
          <w:tcPr>
            <w:tcW w:w="3539" w:type="dxa"/>
          </w:tcPr>
          <w:p w14:paraId="55D4F888"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Direct concessional financing</w:t>
            </w:r>
          </w:p>
        </w:tc>
        <w:tc>
          <w:tcPr>
            <w:tcW w:w="0" w:type="auto"/>
          </w:tcPr>
          <w:p w14:paraId="664F6BF8"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4320" behindDoc="0" locked="0" layoutInCell="1" allowOverlap="1" wp14:anchorId="61BBFDCF" wp14:editId="0404E5A4">
                      <wp:simplePos x="0" y="0"/>
                      <wp:positionH relativeFrom="column">
                        <wp:posOffset>238748</wp:posOffset>
                      </wp:positionH>
                      <wp:positionV relativeFrom="paragraph">
                        <wp:posOffset>32784</wp:posOffset>
                      </wp:positionV>
                      <wp:extent cx="468630" cy="273685"/>
                      <wp:effectExtent l="0" t="0" r="0" b="0"/>
                      <wp:wrapNone/>
                      <wp:docPr id="145511339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AB4BC" id="Минус 183" o:spid="_x0000_s1026" style="position:absolute;margin-left:18.8pt;margin-top:2.6pt;width:36.9pt;height:2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0FEDFEE2" w14:textId="77777777" w:rsidR="00417583" w:rsidRPr="002013A5" w:rsidRDefault="00417583" w:rsidP="006B4F86">
            <w:pPr>
              <w:jc w:val="center"/>
              <w:rPr>
                <w:rFonts w:ascii="Times New Roman" w:hAnsi="Times New Roman" w:cs="Times New Roman"/>
              </w:rPr>
            </w:pPr>
          </w:p>
        </w:tc>
        <w:tc>
          <w:tcPr>
            <w:tcW w:w="0" w:type="auto"/>
          </w:tcPr>
          <w:p w14:paraId="3857EC42"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4080" behindDoc="0" locked="0" layoutInCell="1" allowOverlap="1" wp14:anchorId="4AEA6638" wp14:editId="1D60618A">
                      <wp:simplePos x="0" y="0"/>
                      <wp:positionH relativeFrom="column">
                        <wp:posOffset>202262</wp:posOffset>
                      </wp:positionH>
                      <wp:positionV relativeFrom="paragraph">
                        <wp:posOffset>4804</wp:posOffset>
                      </wp:positionV>
                      <wp:extent cx="333375" cy="328930"/>
                      <wp:effectExtent l="0" t="0" r="0" b="0"/>
                      <wp:wrapNone/>
                      <wp:docPr id="580305191"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6E8BE4" id="Плюс 185" o:spid="_x0000_s1026" style="position:absolute;margin-left:15.95pt;margin-top:.4pt;width:26.25pt;height:2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200F76BF"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5104" behindDoc="0" locked="0" layoutInCell="1" allowOverlap="1" wp14:anchorId="158AB3E4" wp14:editId="0523F39E">
                      <wp:simplePos x="0" y="0"/>
                      <wp:positionH relativeFrom="column">
                        <wp:posOffset>306070</wp:posOffset>
                      </wp:positionH>
                      <wp:positionV relativeFrom="paragraph">
                        <wp:posOffset>25483</wp:posOffset>
                      </wp:positionV>
                      <wp:extent cx="333375" cy="328930"/>
                      <wp:effectExtent l="0" t="0" r="0" b="0"/>
                      <wp:wrapNone/>
                      <wp:docPr id="94549843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EE74BC" id="Плюс 185" o:spid="_x0000_s1026" style="position:absolute;margin-left:24.1pt;margin-top:2pt;width:26.25pt;height:2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0C4B3DE7"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9440" behindDoc="0" locked="0" layoutInCell="1" allowOverlap="1" wp14:anchorId="4F45BA4E" wp14:editId="41092E3C">
                      <wp:simplePos x="0" y="0"/>
                      <wp:positionH relativeFrom="column">
                        <wp:posOffset>154541</wp:posOffset>
                      </wp:positionH>
                      <wp:positionV relativeFrom="paragraph">
                        <wp:posOffset>25838</wp:posOffset>
                      </wp:positionV>
                      <wp:extent cx="468630" cy="273685"/>
                      <wp:effectExtent l="0" t="0" r="0" b="0"/>
                      <wp:wrapNone/>
                      <wp:docPr id="710834831"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055A85" id="Минус 183" o:spid="_x0000_s1026" style="position:absolute;margin-left:12.15pt;margin-top:2.05pt;width:36.9pt;height:2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AB68BA" w14:paraId="698B081A" w14:textId="77777777" w:rsidTr="00B41F89">
        <w:tc>
          <w:tcPr>
            <w:tcW w:w="3539" w:type="dxa"/>
          </w:tcPr>
          <w:p w14:paraId="39B00C5F" w14:textId="77777777" w:rsidR="00417583" w:rsidRPr="00CD5E54" w:rsidRDefault="00417583" w:rsidP="006B4F86">
            <w:pPr>
              <w:rPr>
                <w:rFonts w:ascii="Times New Roman" w:hAnsi="Times New Roman" w:cs="Times New Roman"/>
                <w:bCs/>
                <w:highlight w:val="yellow"/>
                <w:lang w:val="en-US"/>
              </w:rPr>
            </w:pPr>
            <w:r w:rsidRPr="00CD5E54">
              <w:rPr>
                <w:rFonts w:ascii="Times New Roman" w:hAnsi="Times New Roman" w:cs="Times New Roman"/>
                <w:bCs/>
                <w:lang w:val="en-US"/>
              </w:rPr>
              <w:t xml:space="preserve">Preferential financing through conditional placement   </w:t>
            </w:r>
          </w:p>
        </w:tc>
        <w:tc>
          <w:tcPr>
            <w:tcW w:w="0" w:type="auto"/>
          </w:tcPr>
          <w:p w14:paraId="31D75B33"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696128" behindDoc="0" locked="0" layoutInCell="1" allowOverlap="1" wp14:anchorId="183F7CDB" wp14:editId="56A594DB">
                      <wp:simplePos x="0" y="0"/>
                      <wp:positionH relativeFrom="column">
                        <wp:posOffset>299720</wp:posOffset>
                      </wp:positionH>
                      <wp:positionV relativeFrom="paragraph">
                        <wp:posOffset>74240</wp:posOffset>
                      </wp:positionV>
                      <wp:extent cx="333375" cy="328930"/>
                      <wp:effectExtent l="0" t="0" r="0" b="0"/>
                      <wp:wrapNone/>
                      <wp:docPr id="1991544162"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AF173F" id="Плюс 185" o:spid="_x0000_s1026" style="position:absolute;margin-left:23.6pt;margin-top:5.85pt;width:26.2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2DD28055" w14:textId="77777777" w:rsidR="00417583" w:rsidRPr="00CD5E54" w:rsidRDefault="00417583" w:rsidP="006B4F86">
            <w:pPr>
              <w:jc w:val="center"/>
              <w:rPr>
                <w:rFonts w:ascii="Times New Roman" w:hAnsi="Times New Roman" w:cs="Times New Roman"/>
                <w:lang w:val="en-US"/>
              </w:rPr>
            </w:pPr>
          </w:p>
        </w:tc>
        <w:tc>
          <w:tcPr>
            <w:tcW w:w="0" w:type="auto"/>
          </w:tcPr>
          <w:p w14:paraId="7F91F752"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698176" behindDoc="0" locked="0" layoutInCell="1" allowOverlap="1" wp14:anchorId="294C7159" wp14:editId="74A52A5C">
                      <wp:simplePos x="0" y="0"/>
                      <wp:positionH relativeFrom="column">
                        <wp:posOffset>128905</wp:posOffset>
                      </wp:positionH>
                      <wp:positionV relativeFrom="paragraph">
                        <wp:posOffset>95360</wp:posOffset>
                      </wp:positionV>
                      <wp:extent cx="468630" cy="273685"/>
                      <wp:effectExtent l="0" t="0" r="0" b="0"/>
                      <wp:wrapNone/>
                      <wp:docPr id="112194230"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2A447" id="Минус 183" o:spid="_x0000_s1026" style="position:absolute;margin-left:10.15pt;margin-top:7.5pt;width:36.9pt;height:2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1DC9F8B5"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700224" behindDoc="0" locked="0" layoutInCell="1" allowOverlap="1" wp14:anchorId="7F57131D" wp14:editId="4A853DF0">
                      <wp:simplePos x="0" y="0"/>
                      <wp:positionH relativeFrom="column">
                        <wp:posOffset>221201</wp:posOffset>
                      </wp:positionH>
                      <wp:positionV relativeFrom="paragraph">
                        <wp:posOffset>126559</wp:posOffset>
                      </wp:positionV>
                      <wp:extent cx="468630" cy="273685"/>
                      <wp:effectExtent l="0" t="0" r="0" b="0"/>
                      <wp:wrapNone/>
                      <wp:docPr id="1086201185"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A9A5C" id="Минус 183" o:spid="_x0000_s1026" style="position:absolute;margin-left:17.4pt;margin-top:9.95pt;width:36.9pt;height:2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tcPr>
          <w:p w14:paraId="6856EB3A" w14:textId="77777777" w:rsidR="00417583" w:rsidRPr="00CD5E54" w:rsidRDefault="00417583" w:rsidP="006B4F86">
            <w:pPr>
              <w:jc w:val="center"/>
              <w:rPr>
                <w:rFonts w:ascii="Times New Roman" w:hAnsi="Times New Roman" w:cs="Times New Roman"/>
                <w:lang w:val="en-US"/>
              </w:rPr>
            </w:pPr>
            <w:r w:rsidRPr="002013A5">
              <w:rPr>
                <w:noProof/>
              </w:rPr>
              <mc:AlternateContent>
                <mc:Choice Requires="wps">
                  <w:drawing>
                    <wp:anchor distT="0" distB="0" distL="114300" distR="114300" simplePos="0" relativeHeight="251701248" behindDoc="0" locked="0" layoutInCell="1" allowOverlap="1" wp14:anchorId="74A60A82" wp14:editId="20EE13C4">
                      <wp:simplePos x="0" y="0"/>
                      <wp:positionH relativeFrom="column">
                        <wp:posOffset>168633</wp:posOffset>
                      </wp:positionH>
                      <wp:positionV relativeFrom="paragraph">
                        <wp:posOffset>126559</wp:posOffset>
                      </wp:positionV>
                      <wp:extent cx="468630" cy="273685"/>
                      <wp:effectExtent l="0" t="0" r="0" b="0"/>
                      <wp:wrapNone/>
                      <wp:docPr id="46568027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BC90A" id="Минус 183" o:spid="_x0000_s1026" style="position:absolute;margin-left:13.3pt;margin-top:9.95pt;width:36.9pt;height:2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2013A5" w14:paraId="52FDCCBB" w14:textId="77777777" w:rsidTr="00B41F89">
        <w:tc>
          <w:tcPr>
            <w:tcW w:w="3539" w:type="dxa"/>
          </w:tcPr>
          <w:p w14:paraId="15C2CD33"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Venture financing</w:t>
            </w:r>
          </w:p>
        </w:tc>
        <w:tc>
          <w:tcPr>
            <w:tcW w:w="0" w:type="auto"/>
          </w:tcPr>
          <w:p w14:paraId="6D46EBC0"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9200" behindDoc="0" locked="0" layoutInCell="1" allowOverlap="1" wp14:anchorId="68790750" wp14:editId="061A8259">
                      <wp:simplePos x="0" y="0"/>
                      <wp:positionH relativeFrom="column">
                        <wp:posOffset>266601</wp:posOffset>
                      </wp:positionH>
                      <wp:positionV relativeFrom="paragraph">
                        <wp:posOffset>23580</wp:posOffset>
                      </wp:positionV>
                      <wp:extent cx="468630" cy="273685"/>
                      <wp:effectExtent l="0" t="0" r="0" b="0"/>
                      <wp:wrapNone/>
                      <wp:docPr id="90276950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4A535B" id="Минус 183" o:spid="_x0000_s1026" style="position:absolute;margin-left:21pt;margin-top:1.85pt;width:36.9pt;height:2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54CF16DD" w14:textId="77777777" w:rsidR="00417583" w:rsidRPr="002013A5" w:rsidRDefault="00417583" w:rsidP="006B4F86">
            <w:pPr>
              <w:jc w:val="center"/>
              <w:rPr>
                <w:rFonts w:ascii="Times New Roman" w:hAnsi="Times New Roman" w:cs="Times New Roman"/>
              </w:rPr>
            </w:pPr>
          </w:p>
        </w:tc>
        <w:tc>
          <w:tcPr>
            <w:tcW w:w="0" w:type="auto"/>
          </w:tcPr>
          <w:p w14:paraId="27AD0EB4"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7152" behindDoc="0" locked="0" layoutInCell="1" allowOverlap="1" wp14:anchorId="42075498" wp14:editId="2E4510E7">
                      <wp:simplePos x="0" y="0"/>
                      <wp:positionH relativeFrom="column">
                        <wp:posOffset>203737</wp:posOffset>
                      </wp:positionH>
                      <wp:positionV relativeFrom="paragraph">
                        <wp:posOffset>-602</wp:posOffset>
                      </wp:positionV>
                      <wp:extent cx="333375" cy="328930"/>
                      <wp:effectExtent l="0" t="0" r="0" b="0"/>
                      <wp:wrapNone/>
                      <wp:docPr id="102162211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987865" id="Плюс 185" o:spid="_x0000_s1026" style="position:absolute;margin-left:16.05pt;margin-top:-.05pt;width:26.25pt;height:2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3519D0E1"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8416" behindDoc="0" locked="0" layoutInCell="1" allowOverlap="1" wp14:anchorId="2AA644E9" wp14:editId="47AE7410">
                      <wp:simplePos x="0" y="0"/>
                      <wp:positionH relativeFrom="column">
                        <wp:posOffset>295910</wp:posOffset>
                      </wp:positionH>
                      <wp:positionV relativeFrom="paragraph">
                        <wp:posOffset>-11934</wp:posOffset>
                      </wp:positionV>
                      <wp:extent cx="333375" cy="328930"/>
                      <wp:effectExtent l="0" t="0" r="0" b="0"/>
                      <wp:wrapNone/>
                      <wp:docPr id="163430098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604F59" id="Плюс 185" o:spid="_x0000_s1026" style="position:absolute;margin-left:23.3pt;margin-top:-.95pt;width:26.25pt;height:2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3A6F1823"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3296" behindDoc="0" locked="0" layoutInCell="1" allowOverlap="1" wp14:anchorId="0AA7665A" wp14:editId="530E4AAF">
                      <wp:simplePos x="0" y="0"/>
                      <wp:positionH relativeFrom="column">
                        <wp:posOffset>118104</wp:posOffset>
                      </wp:positionH>
                      <wp:positionV relativeFrom="paragraph">
                        <wp:posOffset>6350</wp:posOffset>
                      </wp:positionV>
                      <wp:extent cx="468630" cy="273685"/>
                      <wp:effectExtent l="0" t="0" r="0" b="0"/>
                      <wp:wrapNone/>
                      <wp:docPr id="634737427"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091B9D" id="Минус 183" o:spid="_x0000_s1026" style="position:absolute;margin-left:9.3pt;margin-top:.5pt;width:36.9pt;height:2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2013A5" w14:paraId="0CFEA7FB" w14:textId="77777777" w:rsidTr="00B41F89">
        <w:tc>
          <w:tcPr>
            <w:tcW w:w="3539" w:type="dxa"/>
          </w:tcPr>
          <w:p w14:paraId="6DA40FDA"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 xml:space="preserve">Non-financial support  </w:t>
            </w:r>
          </w:p>
        </w:tc>
        <w:tc>
          <w:tcPr>
            <w:tcW w:w="0" w:type="auto"/>
          </w:tcPr>
          <w:p w14:paraId="4A0109F1"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9984" behindDoc="0" locked="0" layoutInCell="1" allowOverlap="1" wp14:anchorId="6653FA0F" wp14:editId="3EACED29">
                      <wp:simplePos x="0" y="0"/>
                      <wp:positionH relativeFrom="column">
                        <wp:posOffset>299720</wp:posOffset>
                      </wp:positionH>
                      <wp:positionV relativeFrom="paragraph">
                        <wp:posOffset>-22598</wp:posOffset>
                      </wp:positionV>
                      <wp:extent cx="333375" cy="328930"/>
                      <wp:effectExtent l="0" t="0" r="0" b="0"/>
                      <wp:wrapNone/>
                      <wp:docPr id="35765414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E58D6" id="Плюс 185" o:spid="_x0000_s1026" style="position:absolute;margin-left:23.6pt;margin-top:-1.8pt;width:26.25pt;height:2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24E74409" w14:textId="77777777" w:rsidR="00417583" w:rsidRPr="002013A5" w:rsidRDefault="00417583" w:rsidP="006B4F86">
            <w:pPr>
              <w:jc w:val="center"/>
              <w:rPr>
                <w:rFonts w:ascii="Times New Roman" w:hAnsi="Times New Roman" w:cs="Times New Roman"/>
              </w:rPr>
            </w:pPr>
          </w:p>
        </w:tc>
        <w:tc>
          <w:tcPr>
            <w:tcW w:w="0" w:type="auto"/>
          </w:tcPr>
          <w:p w14:paraId="5729CCCF"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1008" behindDoc="0" locked="0" layoutInCell="1" allowOverlap="1" wp14:anchorId="0B132453" wp14:editId="7865433D">
                      <wp:simplePos x="0" y="0"/>
                      <wp:positionH relativeFrom="column">
                        <wp:posOffset>194310</wp:posOffset>
                      </wp:positionH>
                      <wp:positionV relativeFrom="paragraph">
                        <wp:posOffset>-1611</wp:posOffset>
                      </wp:positionV>
                      <wp:extent cx="333375" cy="328930"/>
                      <wp:effectExtent l="0" t="0" r="0" b="0"/>
                      <wp:wrapNone/>
                      <wp:docPr id="53731523"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7537C" id="Плюс 185" o:spid="_x0000_s1026" style="position:absolute;margin-left:15.3pt;margin-top:-.15pt;width:26.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79A2FC3C"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2032" behindDoc="0" locked="0" layoutInCell="1" allowOverlap="1" wp14:anchorId="5FD1791D" wp14:editId="0220346A">
                      <wp:simplePos x="0" y="0"/>
                      <wp:positionH relativeFrom="column">
                        <wp:posOffset>306070</wp:posOffset>
                      </wp:positionH>
                      <wp:positionV relativeFrom="paragraph">
                        <wp:posOffset>-22467</wp:posOffset>
                      </wp:positionV>
                      <wp:extent cx="333375" cy="328930"/>
                      <wp:effectExtent l="0" t="0" r="0" b="0"/>
                      <wp:wrapNone/>
                      <wp:docPr id="2128701547"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30514" id="Плюс 185" o:spid="_x0000_s1026" style="position:absolute;margin-left:24.1pt;margin-top:-1.75pt;width:26.25pt;height:2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tcPr>
          <w:p w14:paraId="7CB37E3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3056" behindDoc="0" locked="0" layoutInCell="1" allowOverlap="1" wp14:anchorId="2887890C" wp14:editId="72A15039">
                      <wp:simplePos x="0" y="0"/>
                      <wp:positionH relativeFrom="column">
                        <wp:posOffset>223520</wp:posOffset>
                      </wp:positionH>
                      <wp:positionV relativeFrom="paragraph">
                        <wp:posOffset>-20464</wp:posOffset>
                      </wp:positionV>
                      <wp:extent cx="333375" cy="328930"/>
                      <wp:effectExtent l="0" t="0" r="0" b="0"/>
                      <wp:wrapNone/>
                      <wp:docPr id="66459040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8DF8CB" id="Плюс 185" o:spid="_x0000_s1026" style="position:absolute;margin-left:17.6pt;margin-top:-1.6pt;width:26.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bl>
    <w:p w14:paraId="207EF61E" w14:textId="77777777" w:rsidR="00417583" w:rsidRPr="00417583" w:rsidRDefault="00417583" w:rsidP="00417583">
      <w:pPr>
        <w:ind w:firstLine="426"/>
        <w:jc w:val="both"/>
        <w:rPr>
          <w:rFonts w:eastAsia="Calibri"/>
          <w:color w:val="0070C0"/>
          <w:lang w:eastAsia="en-US"/>
        </w:rPr>
      </w:pPr>
      <w:r w:rsidRPr="00417583">
        <w:rPr>
          <w:rFonts w:eastAsia="Calibri"/>
          <w:color w:val="0070C0"/>
          <w:lang w:eastAsia="en-US"/>
        </w:rPr>
        <w:tab/>
        <w:t xml:space="preserve">  </w:t>
      </w:r>
    </w:p>
    <w:p w14:paraId="41B49DA3" w14:textId="77777777" w:rsidR="00417583" w:rsidRPr="00412CAB" w:rsidRDefault="00417583" w:rsidP="00DB480F">
      <w:pPr>
        <w:tabs>
          <w:tab w:val="left" w:pos="993"/>
        </w:tabs>
        <w:ind w:firstLine="567"/>
        <w:jc w:val="both"/>
        <w:rPr>
          <w:rFonts w:eastAsia="Calibri"/>
          <w:i/>
          <w:color w:val="auto"/>
          <w:lang w:eastAsia="en-US"/>
        </w:rPr>
      </w:pPr>
      <w:r w:rsidRPr="00412CAB">
        <w:rPr>
          <w:rFonts w:eastAsia="Calibri"/>
          <w:i/>
          <w:color w:val="auto"/>
          <w:lang w:eastAsia="en-US"/>
        </w:rPr>
        <w:t>USA</w:t>
      </w:r>
    </w:p>
    <w:p w14:paraId="49104DA8"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the United States, small businesses account for 44% of GDP. The government organization that provides assistance, advice, support, and protection to small businesses to preserve free, competitive entrepreneurship and support and strengthen the overall national economy is the Small Business Administration (SBA). The SBA (1953) is a US federal government agency created to provide financial support and management assistance to businesses that lack access to capital markets used by larger, more creditworthy corporations.</w:t>
      </w:r>
    </w:p>
    <w:p w14:paraId="117FFEE6" w14:textId="77777777" w:rsidR="00417583" w:rsidRPr="00417583"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color w:val="0070C0"/>
        </w:rPr>
      </w:pPr>
      <w:r w:rsidRPr="00CD5E54">
        <w:rPr>
          <w:rFonts w:ascii="Times New Roman" w:hAnsi="Times New Roman"/>
          <w:sz w:val="24"/>
          <w:szCs w:val="24"/>
          <w:lang w:val="en-US"/>
        </w:rPr>
        <w:t>The US Small Business Administration differs from its peers in its wide range of support tools, including:</w:t>
      </w:r>
    </w:p>
    <w:p w14:paraId="7662815D"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Financial instruments: provision of microloans and guarantees for bank loans, venture financing;</w:t>
      </w:r>
    </w:p>
    <w:p w14:paraId="3C09B563"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Non-financial support: free consultations and subsidized training for aspiring entrepreneurs and small businesses in more than 1,800 localities; support for concluding contracts with government agencies for the provision of goods and services;</w:t>
      </w:r>
    </w:p>
    <w:p w14:paraId="5B806051"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Government Lobbying: Is an independent voice for small business in the federal government, a watchdog for compliance with the Regulatory Flexibility Act, and a source of small business statistics and research.</w:t>
      </w:r>
    </w:p>
    <w:p w14:paraId="66FBFCF5"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SBA Advocacy advances small business views and concerns before Congress, the White House, federal agencies, federal courts, and state policymakers.</w:t>
      </w:r>
    </w:p>
    <w:p w14:paraId="6C2434AB" w14:textId="6F2E3E26"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CD5E54">
        <w:rPr>
          <w:rFonts w:ascii="Times New Roman" w:hAnsi="Times New Roman"/>
          <w:sz w:val="24"/>
          <w:szCs w:val="24"/>
          <w:lang w:val="en-US"/>
        </w:rPr>
        <w:lastRenderedPageBreak/>
        <w:t xml:space="preserve">It's worth noting that the US has successfully implemented a bond guarantee program for MSMEs. </w:t>
      </w:r>
      <w:r w:rsidRPr="00412CAB">
        <w:rPr>
          <w:rFonts w:ascii="Times New Roman" w:hAnsi="Times New Roman"/>
          <w:sz w:val="24"/>
          <w:szCs w:val="24"/>
          <w:lang w:val="ru-RU"/>
        </w:rPr>
        <w:t>In 2020, 7,000 guarantees were issued, totaling $3</w:t>
      </w:r>
      <w:r w:rsidR="000A0FF7">
        <w:rPr>
          <w:rFonts w:ascii="Times New Roman" w:hAnsi="Times New Roman"/>
          <w:sz w:val="24"/>
          <w:szCs w:val="24"/>
          <w:lang w:val="en-US"/>
        </w:rPr>
        <w:t>,</w:t>
      </w:r>
      <w:r w:rsidRPr="00412CAB">
        <w:rPr>
          <w:rFonts w:ascii="Times New Roman" w:hAnsi="Times New Roman"/>
          <w:sz w:val="24"/>
          <w:szCs w:val="24"/>
          <w:lang w:val="ru-RU"/>
        </w:rPr>
        <w:t>7 billion in raised funds.</w:t>
      </w:r>
    </w:p>
    <w:p w14:paraId="44057304" w14:textId="77777777" w:rsidR="00417583" w:rsidRPr="00CD5E54" w:rsidRDefault="00417583" w:rsidP="00DB480F">
      <w:pPr>
        <w:tabs>
          <w:tab w:val="left" w:pos="993"/>
        </w:tabs>
        <w:ind w:firstLine="567"/>
        <w:jc w:val="both"/>
        <w:rPr>
          <w:rFonts w:eastAsia="Calibri"/>
          <w:color w:val="0070C0"/>
          <w:sz w:val="20"/>
          <w:szCs w:val="20"/>
          <w:lang w:val="en-US" w:eastAsia="en-US"/>
        </w:rPr>
      </w:pPr>
      <w:r w:rsidRPr="00CD5E54">
        <w:rPr>
          <w:rFonts w:eastAsia="Calibri"/>
          <w:color w:val="0070C0"/>
          <w:sz w:val="20"/>
          <w:szCs w:val="20"/>
          <w:lang w:val="en-US" w:eastAsia="en-US"/>
        </w:rPr>
        <w:t>Source: https://www.sba.gov/</w:t>
      </w:r>
    </w:p>
    <w:p w14:paraId="201A33B3" w14:textId="77777777" w:rsidR="00417583" w:rsidRPr="00CD5E54" w:rsidRDefault="00417583" w:rsidP="00DB480F">
      <w:pPr>
        <w:tabs>
          <w:tab w:val="left" w:pos="993"/>
        </w:tabs>
        <w:ind w:firstLine="567"/>
        <w:jc w:val="both"/>
        <w:rPr>
          <w:rFonts w:eastAsia="Calibri"/>
          <w:color w:val="0070C0"/>
          <w:sz w:val="20"/>
          <w:szCs w:val="20"/>
          <w:lang w:val="en-US" w:eastAsia="en-US"/>
        </w:rPr>
      </w:pPr>
      <w:r w:rsidRPr="00CD5E54">
        <w:rPr>
          <w:rFonts w:eastAsia="Calibri"/>
          <w:color w:val="0070C0"/>
          <w:sz w:val="20"/>
          <w:szCs w:val="20"/>
          <w:lang w:val="en-US" w:eastAsia="en-US"/>
        </w:rPr>
        <w:t>https://cdn.advocacy.sba.gov/wp-content/uploads/2022/08/30121338/Small-Business-Economic-Profile-US.pdf</w:t>
      </w:r>
    </w:p>
    <w:p w14:paraId="283E2C4D" w14:textId="77777777" w:rsidR="00417583" w:rsidRPr="00CD5E54" w:rsidRDefault="00417583" w:rsidP="00DB480F">
      <w:pPr>
        <w:tabs>
          <w:tab w:val="left" w:pos="993"/>
        </w:tabs>
        <w:ind w:firstLine="567"/>
        <w:jc w:val="both"/>
        <w:rPr>
          <w:rFonts w:eastAsia="Calibri"/>
          <w:color w:val="0070C0"/>
          <w:lang w:val="en-US" w:eastAsia="en-US"/>
        </w:rPr>
      </w:pPr>
    </w:p>
    <w:p w14:paraId="74364A61" w14:textId="1EDEB276" w:rsidR="00417583" w:rsidRPr="00586A71" w:rsidRDefault="00417583" w:rsidP="00DB480F">
      <w:pPr>
        <w:tabs>
          <w:tab w:val="left" w:pos="993"/>
        </w:tabs>
        <w:ind w:firstLine="567"/>
        <w:jc w:val="both"/>
        <w:rPr>
          <w:rFonts w:eastAsia="Calibri"/>
          <w:i/>
          <w:color w:val="auto"/>
          <w:lang w:val="en-US" w:eastAsia="en-US"/>
        </w:rPr>
      </w:pPr>
      <w:r w:rsidRPr="00412CAB">
        <w:rPr>
          <w:rFonts w:eastAsia="Calibri"/>
          <w:i/>
          <w:color w:val="auto"/>
          <w:lang w:eastAsia="en-US"/>
        </w:rPr>
        <w:t>T</w:t>
      </w:r>
      <w:r w:rsidR="00586A71">
        <w:rPr>
          <w:rFonts w:eastAsia="Calibri"/>
          <w:i/>
          <w:color w:val="auto"/>
          <w:lang w:val="en-US" w:eastAsia="en-US"/>
        </w:rPr>
        <w:t>urkey</w:t>
      </w:r>
    </w:p>
    <w:p w14:paraId="61D06538"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SME Development and Support Administration (KOSGEB) is a government agency established in 1990 with the aim of enhancing the role and effectiveness of Turkish SMEs in the economy, increasing their competitiveness and realizing industrial integration in line with economic developments.</w:t>
      </w:r>
    </w:p>
    <w:p w14:paraId="12C80A76"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KOSGEB's support and services are completely free and without intermediaries, and registration in the database, applications for support programs, and payment processes are carried out online through e-government.</w:t>
      </w:r>
      <w:r w:rsidRPr="00CD5E54">
        <w:rPr>
          <w:rFonts w:ascii="Times New Roman" w:hAnsi="Times New Roman"/>
          <w:sz w:val="24"/>
          <w:szCs w:val="24"/>
          <w:lang w:val="en-US"/>
        </w:rPr>
        <w:tab/>
      </w:r>
    </w:p>
    <w:p w14:paraId="1F4600AC"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KOSGEB implements the following types of state support measures:</w:t>
      </w:r>
    </w:p>
    <w:p w14:paraId="5B949BFA"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Financial support: grants, cost reimbursement, payment installments, guarantees through the Credit Guarantee Fund (portfolio and individual guarantees) and subsidies (features: cash support is provided free of charge and/or an interest-free installment plan is available).</w:t>
      </w:r>
    </w:p>
    <w:p w14:paraId="6F30A953"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Non-financial support measures: training, consulting, research work (cooperation with leading higher education universities).</w:t>
      </w:r>
    </w:p>
    <w:p w14:paraId="38DCB762"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Founded in 1991, Kredi Garanti Fonu (KGF) is a non-profit organization that acts as a guarantor for SMEs and other businesses that cannot obtain a loan due to insufficient collateral.</w:t>
      </w:r>
    </w:p>
    <w:p w14:paraId="0674098A"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KGF shareholders include TOBB (Union of Chambers and Commodity Exchanges of Turkey), KOSGEB (Small and Medium Enterprises Development Organization of Turkey) and 29 Turkish banks.</w:t>
      </w:r>
    </w:p>
    <w:p w14:paraId="2C9EABEE"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addition to the guarantee schemes it provides from its own capital, KGF also provides guarantees based on grants and funds provided by other organisations such as the Ministry of Finance and the European Investment Fund (EIF).</w:t>
      </w:r>
    </w:p>
    <w:p w14:paraId="5E369729" w14:textId="571C2192"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of 01.01.2023, KGF supported 1</w:t>
      </w:r>
      <w:r w:rsidR="00586A71">
        <w:rPr>
          <w:rFonts w:ascii="Times New Roman" w:hAnsi="Times New Roman"/>
          <w:sz w:val="24"/>
          <w:szCs w:val="24"/>
          <w:lang w:val="en-US"/>
        </w:rPr>
        <w:t>,</w:t>
      </w:r>
      <w:r w:rsidRPr="00CD5E54">
        <w:rPr>
          <w:rFonts w:ascii="Times New Roman" w:hAnsi="Times New Roman"/>
          <w:sz w:val="24"/>
          <w:szCs w:val="24"/>
          <w:lang w:val="en-US"/>
        </w:rPr>
        <w:t>33 million SMEs in the amount of 694</w:t>
      </w:r>
      <w:r w:rsidR="00586A71">
        <w:rPr>
          <w:rFonts w:ascii="Times New Roman" w:hAnsi="Times New Roman"/>
          <w:sz w:val="24"/>
          <w:szCs w:val="24"/>
          <w:lang w:val="en-US"/>
        </w:rPr>
        <w:t>,</w:t>
      </w:r>
      <w:r w:rsidRPr="00CD5E54">
        <w:rPr>
          <w:rFonts w:ascii="Times New Roman" w:hAnsi="Times New Roman"/>
          <w:sz w:val="24"/>
          <w:szCs w:val="24"/>
          <w:lang w:val="en-US"/>
        </w:rPr>
        <w:t>9 billion Turkish liras (16.861 trillion tenge).</w:t>
      </w:r>
    </w:p>
    <w:p w14:paraId="6F51E798" w14:textId="77777777" w:rsidR="00417583" w:rsidRPr="00CD5E54" w:rsidRDefault="00417583" w:rsidP="00DB480F">
      <w:pPr>
        <w:tabs>
          <w:tab w:val="left" w:pos="993"/>
        </w:tabs>
        <w:ind w:firstLine="567"/>
        <w:jc w:val="both"/>
        <w:rPr>
          <w:rFonts w:eastAsia="Calibri"/>
          <w:color w:val="0070C0"/>
          <w:sz w:val="20"/>
          <w:szCs w:val="20"/>
          <w:lang w:val="en-US" w:eastAsia="en-US"/>
        </w:rPr>
      </w:pPr>
      <w:r w:rsidRPr="00CD5E54">
        <w:rPr>
          <w:rFonts w:eastAsia="Calibri"/>
          <w:color w:val="0070C0"/>
          <w:sz w:val="20"/>
          <w:szCs w:val="20"/>
          <w:lang w:val="en-US" w:eastAsia="en-US"/>
        </w:rPr>
        <w:t>Source: https://www.kosgeb.gov.tr/</w:t>
      </w:r>
    </w:p>
    <w:p w14:paraId="342E9B0B" w14:textId="77777777" w:rsidR="00417583" w:rsidRPr="00CD5E54" w:rsidRDefault="00417583" w:rsidP="00DB480F">
      <w:pPr>
        <w:tabs>
          <w:tab w:val="left" w:pos="993"/>
        </w:tabs>
        <w:ind w:firstLine="567"/>
        <w:jc w:val="both"/>
        <w:rPr>
          <w:rFonts w:eastAsia="Calibri"/>
          <w:color w:val="0070C0"/>
          <w:sz w:val="20"/>
          <w:szCs w:val="20"/>
          <w:lang w:val="en-US" w:eastAsia="en-US"/>
        </w:rPr>
      </w:pPr>
      <w:r w:rsidRPr="00CD5E54">
        <w:rPr>
          <w:rFonts w:eastAsia="Calibri"/>
          <w:color w:val="0070C0"/>
          <w:sz w:val="20"/>
          <w:szCs w:val="20"/>
          <w:lang w:val="en-US" w:eastAsia="en-US"/>
        </w:rPr>
        <w:t>https://www.kgf.com.tr/</w:t>
      </w:r>
    </w:p>
    <w:p w14:paraId="7AFED354" w14:textId="77777777" w:rsidR="00417583" w:rsidRPr="00CD5E54" w:rsidRDefault="00417583" w:rsidP="00DB480F">
      <w:pPr>
        <w:tabs>
          <w:tab w:val="left" w:pos="993"/>
        </w:tabs>
        <w:ind w:firstLine="567"/>
        <w:jc w:val="both"/>
        <w:rPr>
          <w:rFonts w:eastAsia="Calibri"/>
          <w:color w:val="0070C0"/>
          <w:lang w:val="en-US" w:eastAsia="en-US"/>
        </w:rPr>
      </w:pPr>
    </w:p>
    <w:p w14:paraId="1CFE31A8" w14:textId="77777777" w:rsidR="00417583" w:rsidRPr="00900CDA" w:rsidRDefault="00417583" w:rsidP="00DB480F">
      <w:pPr>
        <w:tabs>
          <w:tab w:val="left" w:pos="993"/>
        </w:tabs>
        <w:ind w:firstLine="567"/>
        <w:jc w:val="both"/>
        <w:rPr>
          <w:rFonts w:eastAsia="Calibri"/>
          <w:i/>
          <w:color w:val="auto"/>
          <w:lang w:eastAsia="en-US"/>
        </w:rPr>
      </w:pPr>
      <w:r w:rsidRPr="00900CDA">
        <w:rPr>
          <w:rFonts w:eastAsia="Calibri"/>
          <w:i/>
          <w:color w:val="auto"/>
          <w:lang w:eastAsia="en-US"/>
        </w:rPr>
        <w:t>Singapore</w:t>
      </w:r>
    </w:p>
    <w:p w14:paraId="5EC3C256"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Singapore is a prominent example of the Asian model of innovative economic development. This model is focused on attracting foreign investment and highly skilled labor from other countries, as well as on adopting and further refining innovations and promoting them in the global market.</w:t>
      </w:r>
    </w:p>
    <w:p w14:paraId="170341F3" w14:textId="65E6AF6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Singapore is an export-oriented country with a GDP of $402</w:t>
      </w:r>
      <w:r w:rsidR="00586A71">
        <w:rPr>
          <w:rFonts w:ascii="Times New Roman" w:hAnsi="Times New Roman"/>
          <w:sz w:val="24"/>
          <w:szCs w:val="24"/>
          <w:lang w:val="en-US"/>
        </w:rPr>
        <w:t>,</w:t>
      </w:r>
      <w:r w:rsidRPr="00CD5E54">
        <w:rPr>
          <w:rFonts w:ascii="Times New Roman" w:hAnsi="Times New Roman"/>
          <w:sz w:val="24"/>
          <w:szCs w:val="24"/>
          <w:lang w:val="en-US"/>
        </w:rPr>
        <w:t>2 billion in 2021, a population of 5.9 million, and per capita GDP of $68,200, while SMEs accounted for 99% of the total economy.</w:t>
      </w:r>
    </w:p>
    <w:p w14:paraId="7305BF8C"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support Singapore's SME development, capabilities, innovation, transformation and internationalisation, Enterprise Singapore was established on 1 April 2018 through the merger of International Enterprise Singapore (IE) and SPRING Singapore.</w:t>
      </w:r>
    </w:p>
    <w:p w14:paraId="3E924782"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Enterprise Singapore is an official council of the Ministry of Trade and Industry of the Government of Singapore. The agency also supports Singapore's growth as a hub for trade and startups and continues to serve as the nation's standards and accreditation body.</w:t>
      </w:r>
    </w:p>
    <w:p w14:paraId="0CCE246A" w14:textId="777777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Enterprise Singapore offers the following types of loans:</w:t>
      </w:r>
    </w:p>
    <w:p w14:paraId="5B57B658"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green projects;</w:t>
      </w:r>
    </w:p>
    <w:p w14:paraId="4EFB44E1"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of POS;</w:t>
      </w:r>
    </w:p>
    <w:p w14:paraId="188E4FB2"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of investments in fixed capital in the country and abroad;</w:t>
      </w:r>
    </w:p>
    <w:p w14:paraId="26941EFB"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innovative businesses using venture debt and warrants;</w:t>
      </w:r>
    </w:p>
    <w:p w14:paraId="1B754952"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trade needs;</w:t>
      </w:r>
    </w:p>
    <w:p w14:paraId="7D8A82DC"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Project financing (foreign);</w:t>
      </w:r>
    </w:p>
    <w:p w14:paraId="45CB3B57"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Financing the acquisition of target companies for the purpose of internationalization.</w:t>
      </w:r>
    </w:p>
    <w:p w14:paraId="20B05764" w14:textId="1E958577" w:rsidR="00417583" w:rsidRPr="00CD5E54"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Support for existing and start-up projects is also provided through grants. By the end of 2022, Enterprise Singapore had supported 18,100 SMEs totaling $13</w:t>
      </w:r>
      <w:r w:rsidR="00586A71">
        <w:rPr>
          <w:rFonts w:ascii="Times New Roman" w:hAnsi="Times New Roman"/>
          <w:sz w:val="24"/>
          <w:szCs w:val="24"/>
          <w:lang w:val="en-US"/>
        </w:rPr>
        <w:t>,</w:t>
      </w:r>
      <w:r w:rsidRPr="00CD5E54">
        <w:rPr>
          <w:rFonts w:ascii="Times New Roman" w:hAnsi="Times New Roman"/>
          <w:sz w:val="24"/>
          <w:szCs w:val="24"/>
          <w:lang w:val="en-US"/>
        </w:rPr>
        <w:t>1 billion (6</w:t>
      </w:r>
      <w:r w:rsidR="00586A71">
        <w:rPr>
          <w:rFonts w:ascii="Times New Roman" w:hAnsi="Times New Roman"/>
          <w:sz w:val="24"/>
          <w:szCs w:val="24"/>
          <w:lang w:val="en-US"/>
        </w:rPr>
        <w:t>,</w:t>
      </w:r>
      <w:r w:rsidRPr="00CD5E54">
        <w:rPr>
          <w:rFonts w:ascii="Times New Roman" w:hAnsi="Times New Roman"/>
          <w:sz w:val="24"/>
          <w:szCs w:val="24"/>
          <w:lang w:val="en-US"/>
        </w:rPr>
        <w:t>242 billion tenge).</w:t>
      </w:r>
    </w:p>
    <w:p w14:paraId="2815688D" w14:textId="77777777" w:rsidR="00417583" w:rsidRPr="00CD5E54" w:rsidRDefault="00417583" w:rsidP="00DB480F">
      <w:pPr>
        <w:tabs>
          <w:tab w:val="left" w:pos="993"/>
        </w:tabs>
        <w:ind w:firstLine="567"/>
        <w:jc w:val="both"/>
        <w:rPr>
          <w:rFonts w:eastAsia="Calibri"/>
          <w:color w:val="0070C0"/>
          <w:sz w:val="20"/>
          <w:szCs w:val="20"/>
          <w:lang w:val="en-US" w:eastAsia="en-US"/>
        </w:rPr>
      </w:pPr>
      <w:r w:rsidRPr="00CD5E54">
        <w:rPr>
          <w:rFonts w:eastAsia="Calibri"/>
          <w:color w:val="0070C0"/>
          <w:sz w:val="20"/>
          <w:szCs w:val="20"/>
          <w:lang w:val="en-US" w:eastAsia="en-US"/>
        </w:rPr>
        <w:t xml:space="preserve">Source: https://www.enterprisesg.gov.sg/   </w:t>
      </w:r>
    </w:p>
    <w:p w14:paraId="5858BF2A" w14:textId="77777777" w:rsidR="00DA17CC" w:rsidRPr="00CD5E54" w:rsidRDefault="00290D4E" w:rsidP="00DB480F">
      <w:pPr>
        <w:tabs>
          <w:tab w:val="left" w:pos="993"/>
        </w:tabs>
        <w:ind w:firstLine="567"/>
        <w:jc w:val="both"/>
        <w:rPr>
          <w:rFonts w:eastAsia="Calibri"/>
          <w:color w:val="0070C0"/>
          <w:sz w:val="20"/>
          <w:szCs w:val="20"/>
          <w:lang w:val="en-US" w:eastAsia="en-US"/>
        </w:rPr>
      </w:pPr>
      <w:hyperlink r:id="rId45" w:history="1">
        <w:r w:rsidR="00417583" w:rsidRPr="00CD5E54">
          <w:rPr>
            <w:color w:val="0070C0"/>
            <w:sz w:val="20"/>
            <w:szCs w:val="20"/>
            <w:lang w:val="en-US" w:eastAsia="en-US"/>
          </w:rPr>
          <w:t>https://www.singstat.gov.sg/modules/infographics/economy</w:t>
        </w:r>
      </w:hyperlink>
    </w:p>
    <w:p w14:paraId="5FAA9535" w14:textId="77777777" w:rsidR="00417583" w:rsidRPr="00B17C47" w:rsidRDefault="00417583" w:rsidP="00417583">
      <w:pPr>
        <w:ind w:firstLine="426"/>
        <w:jc w:val="both"/>
        <w:rPr>
          <w:b/>
          <w:bCs/>
          <w:color w:val="auto"/>
          <w:lang w:val="en-US"/>
        </w:rPr>
      </w:pPr>
    </w:p>
    <w:p w14:paraId="74C6A1C5" w14:textId="77777777" w:rsidR="00B17C47" w:rsidRPr="00B17C47" w:rsidRDefault="00B14967" w:rsidP="00B17C47">
      <w:pPr>
        <w:ind w:firstLine="851"/>
        <w:jc w:val="center"/>
        <w:rPr>
          <w:rStyle w:val="a5"/>
          <w:b/>
          <w:bCs/>
          <w:color w:val="auto"/>
          <w:u w:val="none"/>
          <w:lang w:val="en-US"/>
        </w:rPr>
      </w:pPr>
      <w:r w:rsidRPr="00B17C47">
        <w:rPr>
          <w:b/>
          <w:bCs/>
          <w:color w:val="auto"/>
          <w:lang w:val="en-US"/>
        </w:rPr>
        <w:t xml:space="preserve">Section 3. </w:t>
      </w:r>
      <w:r w:rsidR="00B17C47" w:rsidRPr="00B17C47">
        <w:rPr>
          <w:rStyle w:val="a5"/>
          <w:b/>
          <w:bCs/>
          <w:color w:val="auto"/>
          <w:u w:val="none"/>
          <w:lang w:val="en-US"/>
        </w:rPr>
        <w:t>Analysis of the strategic key performance indicators</w:t>
      </w:r>
    </w:p>
    <w:p w14:paraId="01E8C136" w14:textId="0338F12A" w:rsidR="00B17C47" w:rsidRPr="00B17C47" w:rsidRDefault="00B17C47" w:rsidP="00B17C47">
      <w:pPr>
        <w:ind w:firstLine="851"/>
        <w:jc w:val="center"/>
        <w:rPr>
          <w:rStyle w:val="a5"/>
          <w:b/>
          <w:bCs/>
          <w:color w:val="auto"/>
          <w:u w:val="none"/>
          <w:lang w:val="en-US"/>
        </w:rPr>
      </w:pPr>
      <w:r w:rsidRPr="00B17C47">
        <w:rPr>
          <w:rStyle w:val="a5"/>
          <w:b/>
          <w:bCs/>
          <w:color w:val="auto"/>
          <w:u w:val="none"/>
          <w:lang w:val="en-US"/>
        </w:rPr>
        <w:t>of the Damu Fund and SWOT analysis</w:t>
      </w:r>
    </w:p>
    <w:p w14:paraId="42FD405E" w14:textId="77777777" w:rsidR="00B14967" w:rsidRPr="00CD5E54" w:rsidRDefault="00B14967" w:rsidP="00B14967">
      <w:pPr>
        <w:ind w:firstLine="426"/>
        <w:jc w:val="center"/>
        <w:rPr>
          <w:b/>
          <w:bCs/>
          <w:color w:val="auto"/>
          <w:lang w:val="en-US"/>
        </w:rPr>
      </w:pPr>
    </w:p>
    <w:p w14:paraId="089B3F94" w14:textId="77777777" w:rsidR="00CC6BA7" w:rsidRPr="001F748C" w:rsidRDefault="00B149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The Fund's previous Strategy defined 13 key performance indicators to achieve the goal of building an effective development institution integrated into JSC Baiterek National Managing Holding and implementing two strategic directions: 1) Support and development of aspiring and existing entrepreneurs and 2) Sustainable institutional development of the Fund.</w:t>
      </w:r>
    </w:p>
    <w:tbl>
      <w:tblPr>
        <w:tblW w:w="5000" w:type="pct"/>
        <w:tblCellMar>
          <w:left w:w="0" w:type="dxa"/>
          <w:right w:w="0" w:type="dxa"/>
        </w:tblCellMar>
        <w:tblLook w:val="04A0" w:firstRow="1" w:lastRow="0" w:firstColumn="1" w:lastColumn="0" w:noHBand="0" w:noVBand="1"/>
      </w:tblPr>
      <w:tblGrid>
        <w:gridCol w:w="379"/>
        <w:gridCol w:w="4566"/>
        <w:gridCol w:w="1192"/>
        <w:gridCol w:w="1192"/>
        <w:gridCol w:w="67"/>
        <w:gridCol w:w="1140"/>
        <w:gridCol w:w="1244"/>
      </w:tblGrid>
      <w:tr w:rsidR="00AF0CFF" w:rsidRPr="00AB68BA" w14:paraId="5A154EBC" w14:textId="77777777" w:rsidTr="00C01D5C">
        <w:tc>
          <w:tcPr>
            <w:tcW w:w="363" w:type="dxa"/>
            <w:vAlign w:val="center"/>
            <w:hideMark/>
          </w:tcPr>
          <w:p w14:paraId="46E2B3AF" w14:textId="77777777" w:rsidR="00014C1A" w:rsidRPr="00CD5E54" w:rsidRDefault="00014C1A" w:rsidP="00DB480F">
            <w:pPr>
              <w:tabs>
                <w:tab w:val="left" w:pos="993"/>
              </w:tabs>
              <w:ind w:firstLine="567"/>
              <w:rPr>
                <w:color w:val="auto"/>
                <w:lang w:val="en-US"/>
              </w:rPr>
            </w:pPr>
          </w:p>
        </w:tc>
        <w:tc>
          <w:tcPr>
            <w:tcW w:w="4368" w:type="dxa"/>
            <w:vAlign w:val="center"/>
            <w:hideMark/>
          </w:tcPr>
          <w:p w14:paraId="02140CC8" w14:textId="77777777" w:rsidR="00014C1A" w:rsidRPr="00CD5E54" w:rsidRDefault="00014C1A" w:rsidP="00DB480F">
            <w:pPr>
              <w:tabs>
                <w:tab w:val="left" w:pos="993"/>
              </w:tabs>
              <w:ind w:firstLine="567"/>
              <w:rPr>
                <w:rFonts w:eastAsia="Times New Roman"/>
                <w:color w:val="auto"/>
                <w:sz w:val="20"/>
                <w:szCs w:val="20"/>
                <w:lang w:val="en-US"/>
              </w:rPr>
            </w:pPr>
          </w:p>
        </w:tc>
        <w:tc>
          <w:tcPr>
            <w:tcW w:w="1140" w:type="dxa"/>
            <w:vAlign w:val="center"/>
            <w:hideMark/>
          </w:tcPr>
          <w:p w14:paraId="563AFDB7" w14:textId="77777777" w:rsidR="00014C1A" w:rsidRPr="00CD5E54" w:rsidRDefault="00014C1A" w:rsidP="00DB480F">
            <w:pPr>
              <w:tabs>
                <w:tab w:val="left" w:pos="993"/>
              </w:tabs>
              <w:ind w:firstLine="567"/>
              <w:rPr>
                <w:rFonts w:eastAsia="Times New Roman"/>
                <w:color w:val="auto"/>
                <w:sz w:val="20"/>
                <w:szCs w:val="20"/>
                <w:lang w:val="en-US"/>
              </w:rPr>
            </w:pPr>
          </w:p>
        </w:tc>
        <w:tc>
          <w:tcPr>
            <w:tcW w:w="1140" w:type="dxa"/>
            <w:vAlign w:val="center"/>
            <w:hideMark/>
          </w:tcPr>
          <w:p w14:paraId="30244401" w14:textId="77777777" w:rsidR="00014C1A" w:rsidRPr="00CD5E54" w:rsidRDefault="00014C1A" w:rsidP="00DB480F">
            <w:pPr>
              <w:tabs>
                <w:tab w:val="left" w:pos="993"/>
              </w:tabs>
              <w:ind w:firstLine="567"/>
              <w:rPr>
                <w:rFonts w:eastAsia="Times New Roman"/>
                <w:color w:val="auto"/>
                <w:sz w:val="20"/>
                <w:szCs w:val="20"/>
                <w:lang w:val="en-US"/>
              </w:rPr>
            </w:pPr>
          </w:p>
        </w:tc>
        <w:tc>
          <w:tcPr>
            <w:tcW w:w="64" w:type="dxa"/>
            <w:vAlign w:val="center"/>
            <w:hideMark/>
          </w:tcPr>
          <w:p w14:paraId="7A51A1C4" w14:textId="77777777" w:rsidR="00014C1A" w:rsidRPr="00CD5E54" w:rsidRDefault="00014C1A" w:rsidP="00DB480F">
            <w:pPr>
              <w:tabs>
                <w:tab w:val="left" w:pos="993"/>
              </w:tabs>
              <w:ind w:firstLine="567"/>
              <w:rPr>
                <w:rFonts w:eastAsia="Times New Roman"/>
                <w:color w:val="auto"/>
                <w:sz w:val="20"/>
                <w:szCs w:val="20"/>
                <w:lang w:val="en-US"/>
              </w:rPr>
            </w:pPr>
          </w:p>
        </w:tc>
        <w:tc>
          <w:tcPr>
            <w:tcW w:w="1090" w:type="dxa"/>
            <w:vAlign w:val="center"/>
            <w:hideMark/>
          </w:tcPr>
          <w:p w14:paraId="28B7E061" w14:textId="77777777" w:rsidR="00014C1A" w:rsidRPr="00CD5E54" w:rsidRDefault="00014C1A" w:rsidP="00DB480F">
            <w:pPr>
              <w:tabs>
                <w:tab w:val="left" w:pos="993"/>
              </w:tabs>
              <w:ind w:firstLine="567"/>
              <w:rPr>
                <w:rFonts w:eastAsia="Times New Roman"/>
                <w:color w:val="auto"/>
                <w:sz w:val="20"/>
                <w:szCs w:val="20"/>
                <w:lang w:val="en-US"/>
              </w:rPr>
            </w:pPr>
          </w:p>
        </w:tc>
        <w:tc>
          <w:tcPr>
            <w:tcW w:w="1190" w:type="dxa"/>
            <w:vAlign w:val="center"/>
            <w:hideMark/>
          </w:tcPr>
          <w:p w14:paraId="3127AC9A" w14:textId="77777777" w:rsidR="00014C1A" w:rsidRPr="00CD5E54" w:rsidRDefault="00014C1A" w:rsidP="00DB480F">
            <w:pPr>
              <w:tabs>
                <w:tab w:val="left" w:pos="993"/>
              </w:tabs>
              <w:ind w:firstLine="567"/>
              <w:rPr>
                <w:rFonts w:eastAsia="Times New Roman"/>
                <w:color w:val="auto"/>
                <w:sz w:val="20"/>
                <w:szCs w:val="20"/>
                <w:lang w:val="en-US"/>
              </w:rPr>
            </w:pPr>
          </w:p>
        </w:tc>
      </w:tr>
    </w:tbl>
    <w:p w14:paraId="7E7A6460" w14:textId="77777777" w:rsidR="00514D2A" w:rsidRPr="00CD5E54"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071734">
        <w:rPr>
          <w:rFonts w:ascii="Times New Roman" w:hAnsi="Times New Roman"/>
          <w:sz w:val="24"/>
          <w:szCs w:val="24"/>
          <w:lang w:val="en-US"/>
        </w:rPr>
        <w:t>According to monitoring of the implementation of the Fund's Development Strategy for 2023, conducted as part of the implementation of the Fund's Development Plan for 2019–2023, all strategic key performance indicators were achieved:</w:t>
      </w:r>
    </w:p>
    <w:p w14:paraId="3869AE29" w14:textId="77777777" w:rsidR="00DF61E9" w:rsidRPr="00CD5E54" w:rsidRDefault="00003B0B">
      <w:pPr>
        <w:ind w:firstLine="426"/>
        <w:jc w:val="both"/>
        <w:rPr>
          <w:color w:val="auto"/>
          <w:lang w:val="en-US"/>
        </w:rPr>
      </w:pPr>
      <w:r w:rsidRPr="00CD5E54">
        <w:rPr>
          <w:color w:val="auto"/>
          <w:lang w:val="en-US"/>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1134"/>
        <w:gridCol w:w="1702"/>
      </w:tblGrid>
      <w:tr w:rsidR="0006141C" w:rsidRPr="001F748C" w14:paraId="15BC08A8" w14:textId="77777777" w:rsidTr="00071734">
        <w:trPr>
          <w:trHeight w:val="870"/>
          <w:jc w:val="center"/>
        </w:trPr>
        <w:tc>
          <w:tcPr>
            <w:tcW w:w="851" w:type="dxa"/>
            <w:shd w:val="clear" w:color="000000" w:fill="auto"/>
            <w:vAlign w:val="center"/>
            <w:hideMark/>
          </w:tcPr>
          <w:p w14:paraId="494B3B54" w14:textId="77777777" w:rsidR="00292F03" w:rsidRPr="001F748C" w:rsidRDefault="00292F03" w:rsidP="000F32F7">
            <w:pPr>
              <w:jc w:val="center"/>
              <w:rPr>
                <w:b/>
                <w:bCs/>
                <w:color w:val="auto"/>
              </w:rPr>
            </w:pPr>
            <w:r w:rsidRPr="001F748C">
              <w:rPr>
                <w:b/>
                <w:bCs/>
                <w:color w:val="auto"/>
              </w:rPr>
              <w:t>No.</w:t>
            </w:r>
          </w:p>
        </w:tc>
        <w:tc>
          <w:tcPr>
            <w:tcW w:w="6095" w:type="dxa"/>
            <w:shd w:val="clear" w:color="000000" w:fill="auto"/>
            <w:vAlign w:val="center"/>
            <w:hideMark/>
          </w:tcPr>
          <w:p w14:paraId="662FD696" w14:textId="77777777" w:rsidR="00292F03" w:rsidRPr="001F748C" w:rsidRDefault="00292F03" w:rsidP="000F32F7">
            <w:pPr>
              <w:jc w:val="center"/>
              <w:rPr>
                <w:b/>
                <w:bCs/>
                <w:color w:val="auto"/>
              </w:rPr>
            </w:pPr>
            <w:r w:rsidRPr="001F748C">
              <w:rPr>
                <w:b/>
                <w:bCs/>
                <w:color w:val="auto"/>
              </w:rPr>
              <w:t>Indicator</w:t>
            </w:r>
          </w:p>
        </w:tc>
        <w:tc>
          <w:tcPr>
            <w:tcW w:w="1134" w:type="dxa"/>
            <w:shd w:val="clear" w:color="000000" w:fill="auto"/>
            <w:vAlign w:val="center"/>
            <w:hideMark/>
          </w:tcPr>
          <w:p w14:paraId="544826DC" w14:textId="77777777" w:rsidR="00292F03" w:rsidRPr="001F748C" w:rsidRDefault="00784B54" w:rsidP="00C761AC">
            <w:pPr>
              <w:jc w:val="center"/>
              <w:rPr>
                <w:b/>
                <w:bCs/>
                <w:color w:val="auto"/>
              </w:rPr>
            </w:pPr>
            <w:r>
              <w:rPr>
                <w:b/>
                <w:bCs/>
                <w:color w:val="auto"/>
              </w:rPr>
              <w:t>Plan 2023</w:t>
            </w:r>
          </w:p>
        </w:tc>
        <w:tc>
          <w:tcPr>
            <w:tcW w:w="1702" w:type="dxa"/>
            <w:shd w:val="clear" w:color="000000" w:fill="auto"/>
            <w:vAlign w:val="center"/>
            <w:hideMark/>
          </w:tcPr>
          <w:p w14:paraId="6F07B51D" w14:textId="77777777" w:rsidR="00292F03" w:rsidRPr="001F748C" w:rsidRDefault="00DD50BE" w:rsidP="00C761AC">
            <w:pPr>
              <w:jc w:val="center"/>
              <w:rPr>
                <w:b/>
                <w:bCs/>
                <w:color w:val="auto"/>
              </w:rPr>
            </w:pPr>
            <w:r w:rsidRPr="001F748C">
              <w:rPr>
                <w:b/>
                <w:bCs/>
                <w:color w:val="auto"/>
              </w:rPr>
              <w:t>Fact 2023</w:t>
            </w:r>
          </w:p>
        </w:tc>
      </w:tr>
      <w:tr w:rsidR="0006141C" w:rsidRPr="00AB68BA" w14:paraId="73D4DC11" w14:textId="77777777" w:rsidTr="00071734">
        <w:trPr>
          <w:trHeight w:val="315"/>
          <w:jc w:val="center"/>
        </w:trPr>
        <w:tc>
          <w:tcPr>
            <w:tcW w:w="9782" w:type="dxa"/>
            <w:gridSpan w:val="4"/>
            <w:hideMark/>
          </w:tcPr>
          <w:p w14:paraId="69A4D6E4" w14:textId="77777777" w:rsidR="00DF61E9" w:rsidRPr="00CD5E54" w:rsidRDefault="00DF61E9" w:rsidP="00775C6C">
            <w:pPr>
              <w:jc w:val="center"/>
              <w:rPr>
                <w:b/>
                <w:bCs/>
                <w:color w:val="auto"/>
                <w:lang w:val="en-US"/>
              </w:rPr>
            </w:pPr>
            <w:r w:rsidRPr="00CD5E54">
              <w:rPr>
                <w:b/>
                <w:bCs/>
                <w:color w:val="auto"/>
                <w:lang w:val="en-US"/>
              </w:rPr>
              <w:t>STRATEGIC DIRECTION 1. Support and development of aspiring and existing entrepreneurs</w:t>
            </w:r>
          </w:p>
        </w:tc>
      </w:tr>
      <w:tr w:rsidR="0006141C" w:rsidRPr="00AB68BA" w14:paraId="776CDD24" w14:textId="77777777" w:rsidTr="00071734">
        <w:trPr>
          <w:trHeight w:val="315"/>
          <w:jc w:val="center"/>
        </w:trPr>
        <w:tc>
          <w:tcPr>
            <w:tcW w:w="9782" w:type="dxa"/>
            <w:gridSpan w:val="4"/>
            <w:hideMark/>
          </w:tcPr>
          <w:p w14:paraId="480B5FF4" w14:textId="77777777" w:rsidR="00DF61E9" w:rsidRPr="00CD5E54" w:rsidRDefault="00DF61E9" w:rsidP="00775C6C">
            <w:pPr>
              <w:jc w:val="center"/>
              <w:rPr>
                <w:b/>
                <w:bCs/>
                <w:color w:val="auto"/>
                <w:lang w:val="en-US"/>
              </w:rPr>
            </w:pPr>
            <w:r w:rsidRPr="00CD5E54">
              <w:rPr>
                <w:b/>
                <w:bCs/>
                <w:color w:val="auto"/>
                <w:lang w:val="en-US"/>
              </w:rPr>
              <w:t>Expanding micro-business lending and developing and implementing support tools for microfinance organizations and credit unions</w:t>
            </w:r>
          </w:p>
        </w:tc>
      </w:tr>
      <w:tr w:rsidR="00071734" w:rsidRPr="001F748C" w14:paraId="691F2A58" w14:textId="77777777" w:rsidTr="00071734">
        <w:trPr>
          <w:trHeight w:val="309"/>
          <w:jc w:val="center"/>
        </w:trPr>
        <w:tc>
          <w:tcPr>
            <w:tcW w:w="851" w:type="dxa"/>
            <w:hideMark/>
          </w:tcPr>
          <w:p w14:paraId="266CB58D" w14:textId="77777777" w:rsidR="00071734" w:rsidRPr="001F748C" w:rsidRDefault="00071734" w:rsidP="00071734">
            <w:pPr>
              <w:jc w:val="center"/>
              <w:rPr>
                <w:color w:val="auto"/>
              </w:rPr>
            </w:pPr>
            <w:r w:rsidRPr="001F748C">
              <w:rPr>
                <w:color w:val="auto"/>
              </w:rPr>
              <w:t>1</w:t>
            </w:r>
          </w:p>
        </w:tc>
        <w:tc>
          <w:tcPr>
            <w:tcW w:w="6095" w:type="dxa"/>
            <w:hideMark/>
          </w:tcPr>
          <w:p w14:paraId="337DA549" w14:textId="77777777" w:rsidR="00071734" w:rsidRPr="00CD5E54" w:rsidRDefault="00071734" w:rsidP="00071734">
            <w:pPr>
              <w:jc w:val="both"/>
              <w:rPr>
                <w:color w:val="auto"/>
                <w:lang w:val="en-US"/>
              </w:rPr>
            </w:pPr>
            <w:r w:rsidRPr="00CD5E54">
              <w:rPr>
                <w:color w:val="auto"/>
                <w:kern w:val="24"/>
                <w:lang w:val="en-US"/>
              </w:rPr>
              <w:t>Share of conditional placement of funds to microfinance organizations and leasing companies, %</w:t>
            </w:r>
          </w:p>
        </w:tc>
        <w:tc>
          <w:tcPr>
            <w:tcW w:w="1134" w:type="dxa"/>
            <w:hideMark/>
          </w:tcPr>
          <w:p w14:paraId="763AAACC" w14:textId="17BADE38" w:rsidR="00071734" w:rsidRPr="001F748C" w:rsidRDefault="00071734" w:rsidP="00071734">
            <w:pPr>
              <w:pStyle w:val="af6"/>
              <w:textAlignment w:val="top"/>
            </w:pPr>
            <w:r>
              <w:rPr>
                <w:rFonts w:eastAsiaTheme="minorEastAsia"/>
                <w:kern w:val="24"/>
              </w:rPr>
              <w:t>14</w:t>
            </w:r>
            <w:r w:rsidRPr="001F748C">
              <w:rPr>
                <w:rFonts w:eastAsiaTheme="minorEastAsia"/>
                <w:kern w:val="24"/>
              </w:rPr>
              <w:t xml:space="preserve">% </w:t>
            </w:r>
          </w:p>
        </w:tc>
        <w:tc>
          <w:tcPr>
            <w:tcW w:w="1702" w:type="dxa"/>
            <w:shd w:val="clear" w:color="000000" w:fill="FFFFFF"/>
            <w:hideMark/>
          </w:tcPr>
          <w:p w14:paraId="43B746AD" w14:textId="4BFDBD0C" w:rsidR="00071734" w:rsidRPr="001F748C" w:rsidRDefault="00071734" w:rsidP="00071734">
            <w:pPr>
              <w:rPr>
                <w:color w:val="auto"/>
                <w:kern w:val="24"/>
              </w:rPr>
            </w:pPr>
            <w:r>
              <w:rPr>
                <w:color w:val="auto"/>
                <w:kern w:val="24"/>
              </w:rPr>
              <w:t>23,36%</w:t>
            </w:r>
          </w:p>
        </w:tc>
      </w:tr>
      <w:tr w:rsidR="00071734" w:rsidRPr="001F748C" w14:paraId="00B754C0" w14:textId="77777777" w:rsidTr="00071734">
        <w:trPr>
          <w:trHeight w:val="413"/>
          <w:jc w:val="center"/>
        </w:trPr>
        <w:tc>
          <w:tcPr>
            <w:tcW w:w="851" w:type="dxa"/>
            <w:hideMark/>
          </w:tcPr>
          <w:p w14:paraId="6BA86774" w14:textId="77777777" w:rsidR="00071734" w:rsidRPr="001F748C" w:rsidRDefault="00071734" w:rsidP="00071734">
            <w:pPr>
              <w:jc w:val="center"/>
              <w:rPr>
                <w:color w:val="auto"/>
              </w:rPr>
            </w:pPr>
            <w:r w:rsidRPr="001F748C">
              <w:rPr>
                <w:color w:val="auto"/>
              </w:rPr>
              <w:t>2</w:t>
            </w:r>
          </w:p>
        </w:tc>
        <w:tc>
          <w:tcPr>
            <w:tcW w:w="6095" w:type="dxa"/>
            <w:hideMark/>
          </w:tcPr>
          <w:p w14:paraId="3695C627" w14:textId="77777777" w:rsidR="00071734" w:rsidRPr="00CD5E54" w:rsidRDefault="00071734" w:rsidP="00071734">
            <w:pPr>
              <w:jc w:val="both"/>
              <w:rPr>
                <w:color w:val="auto"/>
                <w:lang w:val="en-US"/>
              </w:rPr>
            </w:pPr>
            <w:r w:rsidRPr="00CD5E54">
              <w:rPr>
                <w:color w:val="auto"/>
                <w:kern w:val="24"/>
                <w:lang w:val="en-US"/>
              </w:rPr>
              <w:t>The share of micro and small entrepreneurs from the total number of supported entrepreneurs, %</w:t>
            </w:r>
          </w:p>
        </w:tc>
        <w:tc>
          <w:tcPr>
            <w:tcW w:w="1134" w:type="dxa"/>
            <w:hideMark/>
          </w:tcPr>
          <w:p w14:paraId="2ADF8722" w14:textId="1FE990E3" w:rsidR="00071734" w:rsidRPr="001F748C" w:rsidRDefault="00071734" w:rsidP="00071734">
            <w:pPr>
              <w:pStyle w:val="af6"/>
              <w:textAlignment w:val="top"/>
            </w:pPr>
            <w:r>
              <w:rPr>
                <w:rFonts w:eastAsiaTheme="minorEastAsia"/>
                <w:kern w:val="24"/>
              </w:rPr>
              <w:t>87,5</w:t>
            </w:r>
            <w:r w:rsidRPr="001F748C">
              <w:rPr>
                <w:rFonts w:eastAsiaTheme="minorEastAsia"/>
                <w:kern w:val="24"/>
              </w:rPr>
              <w:t xml:space="preserve">% </w:t>
            </w:r>
          </w:p>
        </w:tc>
        <w:tc>
          <w:tcPr>
            <w:tcW w:w="1702" w:type="dxa"/>
            <w:hideMark/>
          </w:tcPr>
          <w:p w14:paraId="5C4FE955" w14:textId="5C9485B7" w:rsidR="00071734" w:rsidRPr="001F748C" w:rsidRDefault="00071734" w:rsidP="00071734">
            <w:pPr>
              <w:pStyle w:val="af6"/>
              <w:rPr>
                <w:rFonts w:eastAsiaTheme="minorEastAsia"/>
                <w:kern w:val="24"/>
              </w:rPr>
            </w:pPr>
            <w:r>
              <w:rPr>
                <w:rFonts w:eastAsiaTheme="minorEastAsia"/>
                <w:bCs/>
                <w:kern w:val="24"/>
              </w:rPr>
              <w:t>96,1</w:t>
            </w:r>
            <w:r w:rsidRPr="001F748C">
              <w:rPr>
                <w:rFonts w:eastAsiaTheme="minorEastAsia"/>
                <w:bCs/>
                <w:kern w:val="24"/>
              </w:rPr>
              <w:t xml:space="preserve">% </w:t>
            </w:r>
          </w:p>
        </w:tc>
      </w:tr>
      <w:tr w:rsidR="0006141C" w:rsidRPr="00AB68BA" w14:paraId="32EF6FD4" w14:textId="77777777" w:rsidTr="00071734">
        <w:trPr>
          <w:trHeight w:val="315"/>
          <w:jc w:val="center"/>
        </w:trPr>
        <w:tc>
          <w:tcPr>
            <w:tcW w:w="9782" w:type="dxa"/>
            <w:gridSpan w:val="4"/>
            <w:hideMark/>
          </w:tcPr>
          <w:p w14:paraId="143AE853" w14:textId="77777777" w:rsidR="00DF61E9" w:rsidRPr="00CD5E54" w:rsidRDefault="00DF61E9" w:rsidP="00775C6C">
            <w:pPr>
              <w:jc w:val="center"/>
              <w:rPr>
                <w:b/>
                <w:bCs/>
                <w:color w:val="auto"/>
                <w:lang w:val="en-US"/>
              </w:rPr>
            </w:pPr>
            <w:r w:rsidRPr="00CD5E54">
              <w:rPr>
                <w:b/>
                <w:bCs/>
                <w:color w:val="auto"/>
                <w:lang w:val="en-US"/>
              </w:rPr>
              <w:t>Increasing the coverage of existing MSMEs by the Fund's financial programs</w:t>
            </w:r>
          </w:p>
        </w:tc>
      </w:tr>
      <w:tr w:rsidR="00654C93" w:rsidRPr="001F748C" w14:paraId="392611D2" w14:textId="77777777" w:rsidTr="00071734">
        <w:trPr>
          <w:trHeight w:val="56"/>
          <w:jc w:val="center"/>
        </w:trPr>
        <w:tc>
          <w:tcPr>
            <w:tcW w:w="851" w:type="dxa"/>
            <w:hideMark/>
          </w:tcPr>
          <w:p w14:paraId="26A1D56C" w14:textId="77777777" w:rsidR="00654C93" w:rsidRPr="001F748C" w:rsidRDefault="00654C93" w:rsidP="00654C93">
            <w:pPr>
              <w:jc w:val="center"/>
              <w:rPr>
                <w:color w:val="auto"/>
              </w:rPr>
            </w:pPr>
            <w:r w:rsidRPr="001F748C">
              <w:rPr>
                <w:color w:val="auto"/>
              </w:rPr>
              <w:t>3</w:t>
            </w:r>
          </w:p>
        </w:tc>
        <w:tc>
          <w:tcPr>
            <w:tcW w:w="6095" w:type="dxa"/>
            <w:hideMark/>
          </w:tcPr>
          <w:p w14:paraId="29855150" w14:textId="77777777" w:rsidR="00654C93" w:rsidRPr="00CD5E54" w:rsidRDefault="00654C93" w:rsidP="00654C93">
            <w:pPr>
              <w:jc w:val="both"/>
              <w:rPr>
                <w:color w:val="auto"/>
                <w:lang w:val="en-US"/>
              </w:rPr>
            </w:pPr>
            <w:r w:rsidRPr="00CD5E54">
              <w:rPr>
                <w:color w:val="auto"/>
                <w:lang w:val="en-US"/>
              </w:rPr>
              <w:t>The share of MSME entities that received financial support to the total number of MSME entities operating in the market, %</w:t>
            </w:r>
          </w:p>
        </w:tc>
        <w:tc>
          <w:tcPr>
            <w:tcW w:w="1134" w:type="dxa"/>
            <w:hideMark/>
          </w:tcPr>
          <w:p w14:paraId="7A8D2750" w14:textId="7A63A26B" w:rsidR="00654C93" w:rsidRPr="001F748C" w:rsidRDefault="00654C93" w:rsidP="00654C93">
            <w:pPr>
              <w:pStyle w:val="af6"/>
              <w:rPr>
                <w:rFonts w:eastAsiaTheme="minorEastAsia"/>
                <w:kern w:val="24"/>
              </w:rPr>
            </w:pPr>
            <w:r>
              <w:rPr>
                <w:rFonts w:eastAsiaTheme="minorEastAsia"/>
                <w:kern w:val="24"/>
              </w:rPr>
              <w:t>8,17</w:t>
            </w:r>
            <w:r w:rsidRPr="001F748C">
              <w:rPr>
                <w:rFonts w:eastAsiaTheme="minorEastAsia"/>
                <w:kern w:val="24"/>
              </w:rPr>
              <w:t>%</w:t>
            </w:r>
          </w:p>
        </w:tc>
        <w:tc>
          <w:tcPr>
            <w:tcW w:w="1702" w:type="dxa"/>
            <w:hideMark/>
          </w:tcPr>
          <w:p w14:paraId="5B5AE10D" w14:textId="77777777" w:rsidR="00654C93" w:rsidRPr="001F748C" w:rsidRDefault="00654C93" w:rsidP="00654C93">
            <w:pPr>
              <w:pStyle w:val="af6"/>
              <w:rPr>
                <w:rFonts w:eastAsia="Calibri"/>
                <w:kern w:val="24"/>
              </w:rPr>
            </w:pPr>
            <w:r>
              <w:rPr>
                <w:rFonts w:eastAsia="Calibri"/>
                <w:kern w:val="24"/>
              </w:rPr>
              <w:t>9,39%</w:t>
            </w:r>
          </w:p>
          <w:p w14:paraId="304A9AEC" w14:textId="77777777" w:rsidR="00654C93" w:rsidRPr="001F748C" w:rsidRDefault="00654C93" w:rsidP="00654C93">
            <w:pPr>
              <w:pStyle w:val="af6"/>
              <w:rPr>
                <w:rFonts w:eastAsia="Calibri"/>
                <w:kern w:val="24"/>
              </w:rPr>
            </w:pPr>
          </w:p>
        </w:tc>
      </w:tr>
      <w:tr w:rsidR="00654C93" w:rsidRPr="001F748C" w14:paraId="3A818CC1" w14:textId="77777777" w:rsidTr="00071734">
        <w:trPr>
          <w:trHeight w:val="698"/>
          <w:jc w:val="center"/>
        </w:trPr>
        <w:tc>
          <w:tcPr>
            <w:tcW w:w="851" w:type="dxa"/>
            <w:hideMark/>
          </w:tcPr>
          <w:p w14:paraId="04868713" w14:textId="77777777" w:rsidR="00654C93" w:rsidRPr="001F748C" w:rsidRDefault="00654C93" w:rsidP="00654C93">
            <w:pPr>
              <w:jc w:val="center"/>
              <w:rPr>
                <w:color w:val="auto"/>
              </w:rPr>
            </w:pPr>
            <w:r w:rsidRPr="001F748C">
              <w:rPr>
                <w:color w:val="auto"/>
              </w:rPr>
              <w:t>4</w:t>
            </w:r>
          </w:p>
        </w:tc>
        <w:tc>
          <w:tcPr>
            <w:tcW w:w="6095" w:type="dxa"/>
            <w:hideMark/>
          </w:tcPr>
          <w:p w14:paraId="37F898F4" w14:textId="77777777" w:rsidR="00654C93" w:rsidRPr="00CD5E54" w:rsidRDefault="00654C93" w:rsidP="00654C93">
            <w:pPr>
              <w:jc w:val="both"/>
              <w:rPr>
                <w:color w:val="auto"/>
                <w:lang w:val="en-US"/>
              </w:rPr>
            </w:pPr>
            <w:r w:rsidRPr="00CD5E54">
              <w:rPr>
                <w:color w:val="auto"/>
                <w:kern w:val="24"/>
                <w:lang w:val="en-US"/>
              </w:rPr>
              <w:t>Number of new projects and projects for the modernization and expansion of existing production facilities, taking into account increased labor productivity and expansion of sales markets (at the end of the year), units.</w:t>
            </w:r>
          </w:p>
        </w:tc>
        <w:tc>
          <w:tcPr>
            <w:tcW w:w="1134" w:type="dxa"/>
            <w:hideMark/>
          </w:tcPr>
          <w:p w14:paraId="57109331" w14:textId="5295B2BE" w:rsidR="00654C93" w:rsidRPr="001F748C" w:rsidRDefault="00654C93" w:rsidP="00654C93">
            <w:pPr>
              <w:pStyle w:val="af6"/>
            </w:pPr>
            <w:r>
              <w:rPr>
                <w:kern w:val="24"/>
              </w:rPr>
              <w:t>190 695</w:t>
            </w:r>
            <w:r w:rsidRPr="001F748C">
              <w:rPr>
                <w:kern w:val="24"/>
              </w:rPr>
              <w:t xml:space="preserve"> </w:t>
            </w:r>
          </w:p>
        </w:tc>
        <w:tc>
          <w:tcPr>
            <w:tcW w:w="1702" w:type="dxa"/>
            <w:hideMark/>
          </w:tcPr>
          <w:p w14:paraId="31EBB4BD" w14:textId="47CD9F3F" w:rsidR="00654C93" w:rsidRPr="001F748C" w:rsidRDefault="00654C93" w:rsidP="00654C93">
            <w:pPr>
              <w:pStyle w:val="af6"/>
              <w:rPr>
                <w:kern w:val="24"/>
              </w:rPr>
            </w:pPr>
            <w:r>
              <w:rPr>
                <w:rFonts w:eastAsiaTheme="minorEastAsia"/>
              </w:rPr>
              <w:t>187 939</w:t>
            </w:r>
            <w:r w:rsidRPr="001F748C">
              <w:rPr>
                <w:rFonts w:eastAsiaTheme="minorEastAsia"/>
              </w:rPr>
              <w:t xml:space="preserve"> </w:t>
            </w:r>
          </w:p>
        </w:tc>
      </w:tr>
      <w:tr w:rsidR="00654C93" w:rsidRPr="001F748C" w14:paraId="4073AA2F" w14:textId="77777777" w:rsidTr="00071734">
        <w:trPr>
          <w:trHeight w:val="269"/>
          <w:jc w:val="center"/>
        </w:trPr>
        <w:tc>
          <w:tcPr>
            <w:tcW w:w="851" w:type="dxa"/>
            <w:hideMark/>
          </w:tcPr>
          <w:p w14:paraId="170196A4" w14:textId="77777777" w:rsidR="00654C93" w:rsidRPr="001F748C" w:rsidRDefault="00654C93" w:rsidP="00654C93">
            <w:pPr>
              <w:jc w:val="center"/>
              <w:rPr>
                <w:color w:val="auto"/>
              </w:rPr>
            </w:pPr>
            <w:r w:rsidRPr="001F748C">
              <w:rPr>
                <w:color w:val="auto"/>
              </w:rPr>
              <w:t>5</w:t>
            </w:r>
          </w:p>
        </w:tc>
        <w:tc>
          <w:tcPr>
            <w:tcW w:w="6095" w:type="dxa"/>
            <w:hideMark/>
          </w:tcPr>
          <w:p w14:paraId="32FCD2D7" w14:textId="77777777" w:rsidR="00654C93" w:rsidRPr="00CD5E54" w:rsidRDefault="00654C93" w:rsidP="00654C93">
            <w:pPr>
              <w:jc w:val="both"/>
              <w:rPr>
                <w:color w:val="auto"/>
                <w:lang w:val="en-US"/>
              </w:rPr>
            </w:pPr>
            <w:r w:rsidRPr="00CD5E54">
              <w:rPr>
                <w:color w:val="auto"/>
                <w:kern w:val="24"/>
                <w:lang w:val="en-US"/>
              </w:rPr>
              <w:t>Share of the private sector in the Fund's loan portfolio, %</w:t>
            </w:r>
          </w:p>
        </w:tc>
        <w:tc>
          <w:tcPr>
            <w:tcW w:w="1134" w:type="dxa"/>
            <w:hideMark/>
          </w:tcPr>
          <w:p w14:paraId="283163F7" w14:textId="11E160EF" w:rsidR="00654C93" w:rsidRPr="009C6CDA" w:rsidRDefault="00654C93" w:rsidP="00654C93">
            <w:pPr>
              <w:rPr>
                <w:color w:val="auto"/>
              </w:rPr>
            </w:pPr>
            <w:r w:rsidRPr="009C6CDA">
              <w:rPr>
                <w:color w:val="auto"/>
                <w:kern w:val="24"/>
              </w:rPr>
              <w:t>95%</w:t>
            </w:r>
          </w:p>
        </w:tc>
        <w:tc>
          <w:tcPr>
            <w:tcW w:w="1702" w:type="dxa"/>
          </w:tcPr>
          <w:p w14:paraId="09D4B6C0" w14:textId="3E9A5ED5" w:rsidR="00654C93" w:rsidRPr="009C6CDA" w:rsidRDefault="00654C93" w:rsidP="00654C93">
            <w:pPr>
              <w:rPr>
                <w:color w:val="auto"/>
                <w:kern w:val="24"/>
              </w:rPr>
            </w:pPr>
            <w:r w:rsidRPr="009C6CDA">
              <w:rPr>
                <w:color w:val="auto"/>
                <w:kern w:val="24"/>
              </w:rPr>
              <w:t>100%</w:t>
            </w:r>
          </w:p>
        </w:tc>
      </w:tr>
      <w:tr w:rsidR="00654C93" w:rsidRPr="001F748C" w14:paraId="7BE9AD07" w14:textId="77777777" w:rsidTr="00071734">
        <w:trPr>
          <w:trHeight w:val="144"/>
          <w:jc w:val="center"/>
        </w:trPr>
        <w:tc>
          <w:tcPr>
            <w:tcW w:w="851" w:type="dxa"/>
            <w:hideMark/>
          </w:tcPr>
          <w:p w14:paraId="30549D06" w14:textId="77777777" w:rsidR="00654C93" w:rsidRPr="001F748C" w:rsidRDefault="00654C93" w:rsidP="00654C93">
            <w:pPr>
              <w:jc w:val="center"/>
              <w:rPr>
                <w:color w:val="auto"/>
              </w:rPr>
            </w:pPr>
            <w:r w:rsidRPr="001F748C">
              <w:rPr>
                <w:color w:val="auto"/>
              </w:rPr>
              <w:t>6</w:t>
            </w:r>
          </w:p>
        </w:tc>
        <w:tc>
          <w:tcPr>
            <w:tcW w:w="6095" w:type="dxa"/>
            <w:hideMark/>
          </w:tcPr>
          <w:p w14:paraId="3918C1C0" w14:textId="77777777" w:rsidR="00654C93" w:rsidRPr="00CD5E54" w:rsidRDefault="00654C93" w:rsidP="00654C93">
            <w:pPr>
              <w:jc w:val="both"/>
              <w:rPr>
                <w:color w:val="auto"/>
                <w:lang w:val="en-US"/>
              </w:rPr>
            </w:pPr>
            <w:r w:rsidRPr="00CD5E54">
              <w:rPr>
                <w:color w:val="auto"/>
                <w:lang w:val="en-US"/>
              </w:rPr>
              <w:t>Revenue volume of enterprises that received support from the Fund (per year), billion tenge</w:t>
            </w:r>
          </w:p>
        </w:tc>
        <w:tc>
          <w:tcPr>
            <w:tcW w:w="1134" w:type="dxa"/>
            <w:hideMark/>
          </w:tcPr>
          <w:p w14:paraId="05CDC309" w14:textId="60531376" w:rsidR="00654C93" w:rsidRPr="001F748C" w:rsidRDefault="00654C93" w:rsidP="00654C93">
            <w:pPr>
              <w:rPr>
                <w:color w:val="auto"/>
              </w:rPr>
            </w:pPr>
            <w:r w:rsidRPr="001F748C">
              <w:rPr>
                <w:color w:val="auto"/>
              </w:rPr>
              <w:t xml:space="preserve">6 </w:t>
            </w:r>
            <w:r>
              <w:rPr>
                <w:color w:val="auto"/>
              </w:rPr>
              <w:t>500</w:t>
            </w:r>
          </w:p>
        </w:tc>
        <w:tc>
          <w:tcPr>
            <w:tcW w:w="1702" w:type="dxa"/>
            <w:hideMark/>
          </w:tcPr>
          <w:p w14:paraId="41BFF368" w14:textId="24B55621" w:rsidR="00654C93" w:rsidRPr="001F748C" w:rsidRDefault="00654C93" w:rsidP="00654C93">
            <w:pPr>
              <w:rPr>
                <w:color w:val="auto"/>
              </w:rPr>
            </w:pPr>
            <w:r w:rsidRPr="001F748C">
              <w:rPr>
                <w:color w:val="auto"/>
              </w:rPr>
              <w:t>1</w:t>
            </w:r>
            <w:r>
              <w:rPr>
                <w:color w:val="auto"/>
              </w:rPr>
              <w:t>1 590</w:t>
            </w:r>
          </w:p>
        </w:tc>
      </w:tr>
      <w:tr w:rsidR="0006141C" w:rsidRPr="00AB68BA" w14:paraId="649460B5" w14:textId="77777777" w:rsidTr="00071734">
        <w:trPr>
          <w:trHeight w:val="315"/>
          <w:jc w:val="center"/>
        </w:trPr>
        <w:tc>
          <w:tcPr>
            <w:tcW w:w="9782" w:type="dxa"/>
            <w:gridSpan w:val="4"/>
            <w:hideMark/>
          </w:tcPr>
          <w:p w14:paraId="4E9FD3FD" w14:textId="77777777" w:rsidR="00DF61E9" w:rsidRPr="00CD5E54" w:rsidRDefault="00DF61E9" w:rsidP="00775C6C">
            <w:pPr>
              <w:jc w:val="center"/>
              <w:rPr>
                <w:b/>
                <w:bCs/>
                <w:color w:val="auto"/>
                <w:lang w:val="en-US"/>
              </w:rPr>
            </w:pPr>
            <w:r w:rsidRPr="00CD5E54">
              <w:rPr>
                <w:b/>
                <w:bCs/>
                <w:color w:val="auto"/>
                <w:lang w:val="en-US"/>
              </w:rPr>
              <w:t>Ensuring increased economic efficiency of supported MSMEs</w:t>
            </w:r>
          </w:p>
        </w:tc>
      </w:tr>
      <w:tr w:rsidR="00181B02" w:rsidRPr="001F748C" w14:paraId="6220C34B" w14:textId="77777777" w:rsidTr="00071734">
        <w:trPr>
          <w:trHeight w:val="416"/>
          <w:jc w:val="center"/>
        </w:trPr>
        <w:tc>
          <w:tcPr>
            <w:tcW w:w="851" w:type="dxa"/>
            <w:hideMark/>
          </w:tcPr>
          <w:p w14:paraId="2B4EEAC1" w14:textId="77777777" w:rsidR="00181B02" w:rsidRPr="001F748C" w:rsidRDefault="00181B02" w:rsidP="00181B02">
            <w:pPr>
              <w:jc w:val="center"/>
              <w:rPr>
                <w:color w:val="auto"/>
              </w:rPr>
            </w:pPr>
            <w:r w:rsidRPr="001F748C">
              <w:rPr>
                <w:color w:val="auto"/>
              </w:rPr>
              <w:t>7</w:t>
            </w:r>
          </w:p>
        </w:tc>
        <w:tc>
          <w:tcPr>
            <w:tcW w:w="6095" w:type="dxa"/>
            <w:hideMark/>
          </w:tcPr>
          <w:p w14:paraId="0D90B047" w14:textId="77777777" w:rsidR="00181B02" w:rsidRPr="00CD5E54" w:rsidRDefault="00181B02" w:rsidP="00181B02">
            <w:pPr>
              <w:jc w:val="both"/>
              <w:rPr>
                <w:color w:val="auto"/>
                <w:lang w:val="en-US"/>
              </w:rPr>
            </w:pPr>
            <w:r w:rsidRPr="00CD5E54">
              <w:rPr>
                <w:color w:val="auto"/>
                <w:lang w:val="en-US"/>
              </w:rPr>
              <w:t>Increase in taxes paid by businesses that received support from the Fund, billion tenge</w:t>
            </w:r>
          </w:p>
        </w:tc>
        <w:tc>
          <w:tcPr>
            <w:tcW w:w="1134" w:type="dxa"/>
            <w:hideMark/>
          </w:tcPr>
          <w:p w14:paraId="02C7562F" w14:textId="4A674D8A" w:rsidR="00181B02" w:rsidRPr="001F748C" w:rsidRDefault="00181B02" w:rsidP="00181B02">
            <w:pPr>
              <w:rPr>
                <w:color w:val="auto"/>
                <w:lang w:val="en-US"/>
              </w:rPr>
            </w:pPr>
            <w:r>
              <w:rPr>
                <w:color w:val="auto"/>
                <w:kern w:val="24"/>
              </w:rPr>
              <w:t>60</w:t>
            </w:r>
          </w:p>
        </w:tc>
        <w:tc>
          <w:tcPr>
            <w:tcW w:w="1702" w:type="dxa"/>
            <w:hideMark/>
          </w:tcPr>
          <w:p w14:paraId="3441FA01" w14:textId="13F23AFD" w:rsidR="00181B02" w:rsidRPr="001F748C" w:rsidRDefault="00181B02" w:rsidP="00181B02">
            <w:pPr>
              <w:tabs>
                <w:tab w:val="left" w:pos="851"/>
              </w:tabs>
              <w:rPr>
                <w:color w:val="auto"/>
              </w:rPr>
            </w:pPr>
            <w:r>
              <w:rPr>
                <w:color w:val="auto"/>
              </w:rPr>
              <w:t>277,7</w:t>
            </w:r>
          </w:p>
        </w:tc>
      </w:tr>
      <w:tr w:rsidR="0006141C" w:rsidRPr="00AB68BA" w14:paraId="404C23C2" w14:textId="77777777" w:rsidTr="00071734">
        <w:trPr>
          <w:trHeight w:val="315"/>
          <w:jc w:val="center"/>
        </w:trPr>
        <w:tc>
          <w:tcPr>
            <w:tcW w:w="9782" w:type="dxa"/>
            <w:gridSpan w:val="4"/>
            <w:hideMark/>
          </w:tcPr>
          <w:p w14:paraId="1DF0F74E" w14:textId="77777777" w:rsidR="00DF61E9" w:rsidRPr="00CD5E54" w:rsidRDefault="00DF61E9" w:rsidP="00775C6C">
            <w:pPr>
              <w:jc w:val="center"/>
              <w:rPr>
                <w:b/>
                <w:bCs/>
                <w:color w:val="auto"/>
                <w:lang w:val="en-US"/>
              </w:rPr>
            </w:pPr>
            <w:r w:rsidRPr="00CD5E54">
              <w:rPr>
                <w:b/>
                <w:bCs/>
                <w:color w:val="auto"/>
                <w:lang w:val="en-US"/>
              </w:rPr>
              <w:t>STRATEGIC DIRECTION 2. Sustainable institutional development of the fund</w:t>
            </w:r>
          </w:p>
        </w:tc>
      </w:tr>
      <w:tr w:rsidR="0006141C" w:rsidRPr="00AB68BA" w14:paraId="7FAF9AF7" w14:textId="77777777" w:rsidTr="00071734">
        <w:trPr>
          <w:trHeight w:val="315"/>
          <w:jc w:val="center"/>
        </w:trPr>
        <w:tc>
          <w:tcPr>
            <w:tcW w:w="9782" w:type="dxa"/>
            <w:gridSpan w:val="4"/>
            <w:hideMark/>
          </w:tcPr>
          <w:p w14:paraId="44049AB3" w14:textId="77777777" w:rsidR="00DF61E9" w:rsidRPr="00CD5E54" w:rsidRDefault="00DF61E9" w:rsidP="00775C6C">
            <w:pPr>
              <w:jc w:val="center"/>
              <w:rPr>
                <w:b/>
                <w:bCs/>
                <w:color w:val="auto"/>
                <w:lang w:val="en-US"/>
              </w:rPr>
            </w:pPr>
            <w:r w:rsidRPr="00CD5E54">
              <w:rPr>
                <w:b/>
                <w:bCs/>
                <w:color w:val="auto"/>
                <w:lang w:val="en-US"/>
              </w:rPr>
              <w:t>Attracting additional sources of funding</w:t>
            </w:r>
          </w:p>
        </w:tc>
      </w:tr>
      <w:tr w:rsidR="00B46055" w:rsidRPr="001F748C" w14:paraId="2FBB7965" w14:textId="77777777" w:rsidTr="00071734">
        <w:trPr>
          <w:trHeight w:val="665"/>
          <w:jc w:val="center"/>
        </w:trPr>
        <w:tc>
          <w:tcPr>
            <w:tcW w:w="851" w:type="dxa"/>
            <w:hideMark/>
          </w:tcPr>
          <w:p w14:paraId="0ED9030C" w14:textId="77777777" w:rsidR="00B46055" w:rsidRPr="001F748C" w:rsidRDefault="00B46055" w:rsidP="00B46055">
            <w:pPr>
              <w:jc w:val="center"/>
              <w:rPr>
                <w:color w:val="auto"/>
              </w:rPr>
            </w:pPr>
            <w:r w:rsidRPr="001F748C">
              <w:rPr>
                <w:color w:val="auto"/>
              </w:rPr>
              <w:t>8</w:t>
            </w:r>
          </w:p>
        </w:tc>
        <w:tc>
          <w:tcPr>
            <w:tcW w:w="6095" w:type="dxa"/>
            <w:hideMark/>
          </w:tcPr>
          <w:p w14:paraId="3656ACDD" w14:textId="77777777" w:rsidR="00B46055" w:rsidRPr="00CD5E54" w:rsidRDefault="00B46055" w:rsidP="00B46055">
            <w:pPr>
              <w:jc w:val="both"/>
              <w:rPr>
                <w:color w:val="auto"/>
                <w:lang w:val="en-US"/>
              </w:rPr>
            </w:pPr>
            <w:r w:rsidRPr="00CD5E54">
              <w:rPr>
                <w:color w:val="auto"/>
                <w:lang w:val="en-US"/>
              </w:rPr>
              <w:t>The share of non-governmental sources of borrowing in the total borrowing structure for the reporting year, %</w:t>
            </w:r>
          </w:p>
        </w:tc>
        <w:tc>
          <w:tcPr>
            <w:tcW w:w="1134" w:type="dxa"/>
            <w:hideMark/>
          </w:tcPr>
          <w:p w14:paraId="36327B65" w14:textId="39BAF33D" w:rsidR="00B46055" w:rsidRPr="001F748C" w:rsidRDefault="00B46055" w:rsidP="00B46055">
            <w:pPr>
              <w:rPr>
                <w:color w:val="auto"/>
              </w:rPr>
            </w:pPr>
            <w:r>
              <w:rPr>
                <w:color w:val="auto"/>
              </w:rPr>
              <w:t>10</w:t>
            </w:r>
            <w:r w:rsidRPr="001F748C">
              <w:rPr>
                <w:color w:val="auto"/>
              </w:rPr>
              <w:t xml:space="preserve">% </w:t>
            </w:r>
          </w:p>
        </w:tc>
        <w:tc>
          <w:tcPr>
            <w:tcW w:w="1702" w:type="dxa"/>
            <w:hideMark/>
          </w:tcPr>
          <w:p w14:paraId="49B494C1" w14:textId="5B472A2C" w:rsidR="00B46055" w:rsidRPr="001F748C" w:rsidRDefault="00B46055" w:rsidP="00B46055">
            <w:pPr>
              <w:rPr>
                <w:color w:val="auto"/>
              </w:rPr>
            </w:pPr>
            <w:r>
              <w:rPr>
                <w:color w:val="auto"/>
              </w:rPr>
              <w:t>11,5</w:t>
            </w:r>
          </w:p>
        </w:tc>
      </w:tr>
      <w:tr w:rsidR="00B46055" w:rsidRPr="001F748C" w14:paraId="7EDA1991" w14:textId="77777777" w:rsidTr="00071734">
        <w:trPr>
          <w:trHeight w:val="242"/>
          <w:jc w:val="center"/>
        </w:trPr>
        <w:tc>
          <w:tcPr>
            <w:tcW w:w="851" w:type="dxa"/>
            <w:hideMark/>
          </w:tcPr>
          <w:p w14:paraId="462CE3E5" w14:textId="77777777" w:rsidR="00B46055" w:rsidRPr="001F748C" w:rsidRDefault="00B46055" w:rsidP="00B46055">
            <w:pPr>
              <w:jc w:val="center"/>
              <w:rPr>
                <w:color w:val="auto"/>
              </w:rPr>
            </w:pPr>
            <w:r w:rsidRPr="001F748C">
              <w:rPr>
                <w:color w:val="auto"/>
              </w:rPr>
              <w:t>9</w:t>
            </w:r>
          </w:p>
        </w:tc>
        <w:tc>
          <w:tcPr>
            <w:tcW w:w="6095" w:type="dxa"/>
            <w:hideMark/>
          </w:tcPr>
          <w:p w14:paraId="432F979E" w14:textId="77777777" w:rsidR="00B46055" w:rsidRPr="00CD5E54" w:rsidRDefault="00B46055" w:rsidP="00B46055">
            <w:pPr>
              <w:jc w:val="both"/>
              <w:rPr>
                <w:i/>
                <w:color w:val="auto"/>
                <w:lang w:val="en-US"/>
              </w:rPr>
            </w:pPr>
            <w:r w:rsidRPr="00CD5E54">
              <w:rPr>
                <w:color w:val="auto"/>
                <w:lang w:val="en-US"/>
              </w:rPr>
              <w:t>Debt/Equity (no more than)</w:t>
            </w:r>
          </w:p>
        </w:tc>
        <w:tc>
          <w:tcPr>
            <w:tcW w:w="1134" w:type="dxa"/>
          </w:tcPr>
          <w:p w14:paraId="13D8508F" w14:textId="602668D7" w:rsidR="00B46055" w:rsidRPr="001F748C" w:rsidRDefault="00B46055" w:rsidP="00B46055">
            <w:pPr>
              <w:rPr>
                <w:color w:val="auto"/>
              </w:rPr>
            </w:pPr>
            <w:r>
              <w:rPr>
                <w:color w:val="auto"/>
              </w:rPr>
              <w:t>1,56</w:t>
            </w:r>
          </w:p>
        </w:tc>
        <w:tc>
          <w:tcPr>
            <w:tcW w:w="1702" w:type="dxa"/>
          </w:tcPr>
          <w:p w14:paraId="6C972E5A" w14:textId="1BC6AD6F" w:rsidR="00B46055" w:rsidRPr="001F748C" w:rsidRDefault="00B46055" w:rsidP="00B46055">
            <w:pPr>
              <w:widowControl w:val="0"/>
              <w:rPr>
                <w:color w:val="auto"/>
              </w:rPr>
            </w:pPr>
            <w:r>
              <w:rPr>
                <w:color w:val="auto"/>
              </w:rPr>
              <w:t>1,1</w:t>
            </w:r>
          </w:p>
        </w:tc>
      </w:tr>
      <w:tr w:rsidR="0006141C" w:rsidRPr="00AB68BA" w14:paraId="655F625C" w14:textId="77777777" w:rsidTr="00071734">
        <w:trPr>
          <w:trHeight w:val="315"/>
          <w:jc w:val="center"/>
        </w:trPr>
        <w:tc>
          <w:tcPr>
            <w:tcW w:w="9782" w:type="dxa"/>
            <w:gridSpan w:val="4"/>
            <w:hideMark/>
          </w:tcPr>
          <w:p w14:paraId="1013DF04" w14:textId="77777777" w:rsidR="00DF61E9" w:rsidRPr="00CD5E54" w:rsidRDefault="00DF61E9" w:rsidP="00775C6C">
            <w:pPr>
              <w:jc w:val="center"/>
              <w:rPr>
                <w:b/>
                <w:bCs/>
                <w:color w:val="auto"/>
                <w:lang w:val="en-US"/>
              </w:rPr>
            </w:pPr>
            <w:r w:rsidRPr="00CD5E54">
              <w:rPr>
                <w:b/>
                <w:bCs/>
                <w:color w:val="auto"/>
                <w:lang w:val="en-US"/>
              </w:rPr>
              <w:t>Achieving the planned level of financial performance</w:t>
            </w:r>
          </w:p>
        </w:tc>
      </w:tr>
      <w:tr w:rsidR="00B46055" w:rsidRPr="001F748C" w14:paraId="09540767" w14:textId="77777777" w:rsidTr="00071734">
        <w:trPr>
          <w:trHeight w:val="222"/>
          <w:jc w:val="center"/>
        </w:trPr>
        <w:tc>
          <w:tcPr>
            <w:tcW w:w="851" w:type="dxa"/>
            <w:hideMark/>
          </w:tcPr>
          <w:p w14:paraId="174D4F52" w14:textId="77777777" w:rsidR="00B46055" w:rsidRPr="001F748C" w:rsidRDefault="00B46055" w:rsidP="00B46055">
            <w:pPr>
              <w:jc w:val="center"/>
              <w:rPr>
                <w:color w:val="auto"/>
              </w:rPr>
            </w:pPr>
            <w:r w:rsidRPr="001F748C">
              <w:rPr>
                <w:color w:val="auto"/>
              </w:rPr>
              <w:t>10</w:t>
            </w:r>
          </w:p>
        </w:tc>
        <w:tc>
          <w:tcPr>
            <w:tcW w:w="6095" w:type="dxa"/>
            <w:hideMark/>
          </w:tcPr>
          <w:p w14:paraId="0BE8C5D9" w14:textId="77777777" w:rsidR="00B46055" w:rsidRPr="00CD5E54" w:rsidRDefault="00B46055" w:rsidP="00B46055">
            <w:pPr>
              <w:jc w:val="both"/>
              <w:rPr>
                <w:color w:val="auto"/>
                <w:lang w:val="en-US"/>
              </w:rPr>
            </w:pPr>
            <w:r w:rsidRPr="00CD5E54">
              <w:rPr>
                <w:color w:val="auto"/>
                <w:lang w:val="en-US"/>
              </w:rPr>
              <w:t>ROA (not below the minimum positive value)</w:t>
            </w:r>
          </w:p>
        </w:tc>
        <w:tc>
          <w:tcPr>
            <w:tcW w:w="1134" w:type="dxa"/>
            <w:hideMark/>
          </w:tcPr>
          <w:p w14:paraId="7BFACD20" w14:textId="738F09FA" w:rsidR="00B46055" w:rsidRPr="001F748C" w:rsidRDefault="00B46055" w:rsidP="00B46055">
            <w:pPr>
              <w:rPr>
                <w:color w:val="auto"/>
              </w:rPr>
            </w:pPr>
            <w:r w:rsidRPr="001F748C">
              <w:rPr>
                <w:color w:val="auto"/>
                <w:kern w:val="24"/>
                <w:lang w:val="en-US"/>
              </w:rPr>
              <w:t>1</w:t>
            </w:r>
            <w:r>
              <w:rPr>
                <w:color w:val="auto"/>
                <w:kern w:val="24"/>
              </w:rPr>
              <w:t>,36</w:t>
            </w:r>
            <w:r w:rsidRPr="001F748C">
              <w:rPr>
                <w:color w:val="auto"/>
                <w:kern w:val="24"/>
                <w:lang w:val="en-US"/>
              </w:rPr>
              <w:t>%</w:t>
            </w:r>
          </w:p>
        </w:tc>
        <w:tc>
          <w:tcPr>
            <w:tcW w:w="1702" w:type="dxa"/>
            <w:hideMark/>
          </w:tcPr>
          <w:p w14:paraId="5F9C46C6" w14:textId="0381E0A4" w:rsidR="00B46055" w:rsidRPr="001F748C" w:rsidRDefault="00B46055" w:rsidP="00B46055">
            <w:pPr>
              <w:rPr>
                <w:color w:val="auto"/>
                <w:kern w:val="24"/>
              </w:rPr>
            </w:pPr>
            <w:r>
              <w:rPr>
                <w:color w:val="auto"/>
                <w:kern w:val="24"/>
              </w:rPr>
              <w:t>9,08</w:t>
            </w:r>
            <w:r w:rsidRPr="001F748C">
              <w:rPr>
                <w:color w:val="auto"/>
                <w:kern w:val="24"/>
              </w:rPr>
              <w:t>%</w:t>
            </w:r>
          </w:p>
        </w:tc>
      </w:tr>
      <w:tr w:rsidR="00B46055" w:rsidRPr="001F748C" w14:paraId="62EE31C3" w14:textId="77777777" w:rsidTr="00071734">
        <w:trPr>
          <w:trHeight w:val="126"/>
          <w:jc w:val="center"/>
        </w:trPr>
        <w:tc>
          <w:tcPr>
            <w:tcW w:w="851" w:type="dxa"/>
            <w:hideMark/>
          </w:tcPr>
          <w:p w14:paraId="77ACBC5A" w14:textId="77777777" w:rsidR="00B46055" w:rsidRPr="001F748C" w:rsidRDefault="00B46055" w:rsidP="00B46055">
            <w:pPr>
              <w:jc w:val="center"/>
              <w:rPr>
                <w:color w:val="auto"/>
              </w:rPr>
            </w:pPr>
            <w:r w:rsidRPr="001F748C">
              <w:rPr>
                <w:color w:val="auto"/>
              </w:rPr>
              <w:t>11</w:t>
            </w:r>
          </w:p>
        </w:tc>
        <w:tc>
          <w:tcPr>
            <w:tcW w:w="6095" w:type="dxa"/>
            <w:hideMark/>
          </w:tcPr>
          <w:p w14:paraId="38C2C2E7" w14:textId="77777777" w:rsidR="00B46055" w:rsidRPr="00CD5E54" w:rsidRDefault="00B46055" w:rsidP="00B46055">
            <w:pPr>
              <w:jc w:val="both"/>
              <w:rPr>
                <w:i/>
                <w:color w:val="auto"/>
                <w:lang w:val="en-US"/>
              </w:rPr>
            </w:pPr>
            <w:r w:rsidRPr="00CD5E54">
              <w:rPr>
                <w:color w:val="auto"/>
                <w:lang w:val="en-US"/>
              </w:rPr>
              <w:t>Share of loan portfolio from total assets, % (not less than planned)</w:t>
            </w:r>
          </w:p>
        </w:tc>
        <w:tc>
          <w:tcPr>
            <w:tcW w:w="1134" w:type="dxa"/>
            <w:hideMark/>
          </w:tcPr>
          <w:p w14:paraId="22BBFBA6" w14:textId="43967498" w:rsidR="00B46055" w:rsidRPr="001F748C" w:rsidRDefault="00B46055" w:rsidP="00B46055">
            <w:pPr>
              <w:rPr>
                <w:color w:val="auto"/>
              </w:rPr>
            </w:pPr>
            <w:r>
              <w:rPr>
                <w:color w:val="auto"/>
                <w:kern w:val="24"/>
              </w:rPr>
              <w:t>30,76</w:t>
            </w:r>
            <w:r w:rsidRPr="001F748C">
              <w:rPr>
                <w:color w:val="auto"/>
                <w:kern w:val="24"/>
              </w:rPr>
              <w:t>%</w:t>
            </w:r>
          </w:p>
        </w:tc>
        <w:tc>
          <w:tcPr>
            <w:tcW w:w="1702" w:type="dxa"/>
            <w:hideMark/>
          </w:tcPr>
          <w:p w14:paraId="20B1E014" w14:textId="71CB40B2" w:rsidR="00B46055" w:rsidRPr="001F748C" w:rsidRDefault="00B46055" w:rsidP="00B46055">
            <w:pPr>
              <w:rPr>
                <w:color w:val="auto"/>
              </w:rPr>
            </w:pPr>
            <w:r>
              <w:rPr>
                <w:color w:val="auto"/>
              </w:rPr>
              <w:t>53,38</w:t>
            </w:r>
            <w:r w:rsidRPr="001F748C">
              <w:rPr>
                <w:color w:val="auto"/>
              </w:rPr>
              <w:t>%</w:t>
            </w:r>
          </w:p>
        </w:tc>
      </w:tr>
      <w:tr w:rsidR="0006141C" w:rsidRPr="001F748C" w14:paraId="4E38C8CA" w14:textId="77777777" w:rsidTr="00071734">
        <w:trPr>
          <w:trHeight w:val="315"/>
          <w:jc w:val="center"/>
        </w:trPr>
        <w:tc>
          <w:tcPr>
            <w:tcW w:w="9782" w:type="dxa"/>
            <w:gridSpan w:val="4"/>
            <w:hideMark/>
          </w:tcPr>
          <w:p w14:paraId="66F7DF27" w14:textId="77777777" w:rsidR="00DF61E9" w:rsidRPr="001F748C" w:rsidRDefault="00DF61E9" w:rsidP="00775C6C">
            <w:pPr>
              <w:jc w:val="center"/>
              <w:rPr>
                <w:b/>
                <w:bCs/>
                <w:color w:val="auto"/>
              </w:rPr>
            </w:pPr>
            <w:r w:rsidRPr="001F748C">
              <w:rPr>
                <w:b/>
                <w:bCs/>
                <w:color w:val="auto"/>
              </w:rPr>
              <w:t>Business process automation</w:t>
            </w:r>
          </w:p>
        </w:tc>
      </w:tr>
      <w:tr w:rsidR="0006141C" w:rsidRPr="001F748C" w14:paraId="0DE348EC" w14:textId="77777777" w:rsidTr="00071734">
        <w:trPr>
          <w:trHeight w:val="275"/>
          <w:jc w:val="center"/>
        </w:trPr>
        <w:tc>
          <w:tcPr>
            <w:tcW w:w="851" w:type="dxa"/>
            <w:hideMark/>
          </w:tcPr>
          <w:p w14:paraId="737BBD41" w14:textId="77777777" w:rsidR="00292F03" w:rsidRPr="001F748C" w:rsidRDefault="00292F03" w:rsidP="00775C6C">
            <w:pPr>
              <w:jc w:val="center"/>
              <w:rPr>
                <w:color w:val="auto"/>
              </w:rPr>
            </w:pPr>
            <w:r w:rsidRPr="001F748C">
              <w:rPr>
                <w:color w:val="auto"/>
              </w:rPr>
              <w:lastRenderedPageBreak/>
              <w:t>12</w:t>
            </w:r>
          </w:p>
        </w:tc>
        <w:tc>
          <w:tcPr>
            <w:tcW w:w="6095" w:type="dxa"/>
            <w:hideMark/>
          </w:tcPr>
          <w:p w14:paraId="6D185894" w14:textId="77777777" w:rsidR="00292F03" w:rsidRPr="00CD5E54" w:rsidRDefault="00292F03" w:rsidP="00775C6C">
            <w:pPr>
              <w:jc w:val="both"/>
              <w:rPr>
                <w:color w:val="auto"/>
                <w:lang w:val="en-US"/>
              </w:rPr>
            </w:pPr>
            <w:r w:rsidRPr="00CD5E54">
              <w:rPr>
                <w:color w:val="auto"/>
                <w:lang w:val="en-US"/>
              </w:rPr>
              <w:t>Automation of the Fund's core business processes, %</w:t>
            </w:r>
          </w:p>
        </w:tc>
        <w:tc>
          <w:tcPr>
            <w:tcW w:w="1134" w:type="dxa"/>
            <w:hideMark/>
          </w:tcPr>
          <w:p w14:paraId="5A0B0A3E" w14:textId="77777777" w:rsidR="00292F03" w:rsidRPr="001F748C" w:rsidRDefault="00292F03" w:rsidP="00DC2625">
            <w:pPr>
              <w:rPr>
                <w:color w:val="auto"/>
              </w:rPr>
            </w:pPr>
            <w:r w:rsidRPr="001F748C">
              <w:rPr>
                <w:color w:val="auto"/>
                <w:kern w:val="24"/>
              </w:rPr>
              <w:t>100%</w:t>
            </w:r>
          </w:p>
        </w:tc>
        <w:tc>
          <w:tcPr>
            <w:tcW w:w="1702" w:type="dxa"/>
            <w:hideMark/>
          </w:tcPr>
          <w:p w14:paraId="7494DCB0" w14:textId="77777777" w:rsidR="00292F03" w:rsidRPr="001F748C" w:rsidRDefault="00292F03" w:rsidP="00DC2625">
            <w:pPr>
              <w:rPr>
                <w:color w:val="auto"/>
              </w:rPr>
            </w:pPr>
            <w:r w:rsidRPr="001F748C">
              <w:rPr>
                <w:color w:val="auto"/>
                <w:kern w:val="24"/>
              </w:rPr>
              <w:t>100%</w:t>
            </w:r>
          </w:p>
        </w:tc>
      </w:tr>
      <w:tr w:rsidR="0006141C" w:rsidRPr="00AB68BA" w14:paraId="098A1FD8" w14:textId="77777777" w:rsidTr="00071734">
        <w:trPr>
          <w:trHeight w:val="315"/>
          <w:jc w:val="center"/>
        </w:trPr>
        <w:tc>
          <w:tcPr>
            <w:tcW w:w="9782" w:type="dxa"/>
            <w:gridSpan w:val="4"/>
            <w:hideMark/>
          </w:tcPr>
          <w:p w14:paraId="6371384F" w14:textId="77777777" w:rsidR="00DF61E9" w:rsidRPr="00CD5E54" w:rsidRDefault="00DF61E9" w:rsidP="00775C6C">
            <w:pPr>
              <w:jc w:val="center"/>
              <w:rPr>
                <w:b/>
                <w:bCs/>
                <w:color w:val="auto"/>
                <w:lang w:val="en-US"/>
              </w:rPr>
            </w:pPr>
            <w:r w:rsidRPr="00CD5E54">
              <w:rPr>
                <w:b/>
                <w:bCs/>
                <w:color w:val="auto"/>
                <w:lang w:val="en-US"/>
              </w:rPr>
              <w:t>Improving the level of corporate governance</w:t>
            </w:r>
          </w:p>
        </w:tc>
      </w:tr>
      <w:tr w:rsidR="0006141C" w:rsidRPr="001F748C" w14:paraId="5C727CAA" w14:textId="77777777" w:rsidTr="00071734">
        <w:trPr>
          <w:trHeight w:val="369"/>
          <w:jc w:val="center"/>
        </w:trPr>
        <w:tc>
          <w:tcPr>
            <w:tcW w:w="851" w:type="dxa"/>
            <w:hideMark/>
          </w:tcPr>
          <w:p w14:paraId="12F45F96" w14:textId="77777777" w:rsidR="00292F03" w:rsidRPr="001F748C" w:rsidRDefault="00292F03" w:rsidP="00775C6C">
            <w:pPr>
              <w:jc w:val="center"/>
              <w:rPr>
                <w:color w:val="auto"/>
              </w:rPr>
            </w:pPr>
            <w:r w:rsidRPr="001F748C">
              <w:rPr>
                <w:color w:val="auto"/>
              </w:rPr>
              <w:t>13</w:t>
            </w:r>
          </w:p>
        </w:tc>
        <w:tc>
          <w:tcPr>
            <w:tcW w:w="6095" w:type="dxa"/>
            <w:hideMark/>
          </w:tcPr>
          <w:p w14:paraId="4403C739" w14:textId="77777777" w:rsidR="00292F03" w:rsidRPr="00CD5E54" w:rsidRDefault="00292F03" w:rsidP="00775C6C">
            <w:pPr>
              <w:jc w:val="both"/>
              <w:rPr>
                <w:color w:val="auto"/>
                <w:lang w:val="en-US"/>
              </w:rPr>
            </w:pPr>
            <w:r w:rsidRPr="00CD5E54">
              <w:rPr>
                <w:color w:val="auto"/>
                <w:lang w:val="en-US"/>
              </w:rPr>
              <w:t>Assessment of trust and satisfaction of MSME entities with the activities of JSC "Damu Entrepreneurship Development Fund", %</w:t>
            </w:r>
          </w:p>
        </w:tc>
        <w:tc>
          <w:tcPr>
            <w:tcW w:w="1134" w:type="dxa"/>
            <w:hideMark/>
          </w:tcPr>
          <w:p w14:paraId="5FFEA55B" w14:textId="77777777" w:rsidR="00292F03" w:rsidRPr="001F748C" w:rsidRDefault="00292F03" w:rsidP="00DC2625">
            <w:pPr>
              <w:tabs>
                <w:tab w:val="left" w:pos="851"/>
              </w:tabs>
              <w:rPr>
                <w:bCs/>
                <w:color w:val="auto"/>
              </w:rPr>
            </w:pPr>
            <w:r w:rsidRPr="001F748C">
              <w:rPr>
                <w:bCs/>
                <w:color w:val="auto"/>
              </w:rPr>
              <w:t>at least 80%</w:t>
            </w:r>
          </w:p>
        </w:tc>
        <w:tc>
          <w:tcPr>
            <w:tcW w:w="1702" w:type="dxa"/>
            <w:hideMark/>
          </w:tcPr>
          <w:p w14:paraId="471A711F" w14:textId="01DB1F13" w:rsidR="00292F03" w:rsidRPr="001F748C" w:rsidRDefault="009C6CDA" w:rsidP="00DC2625">
            <w:pPr>
              <w:pStyle w:val="af6"/>
              <w:rPr>
                <w:rFonts w:eastAsiaTheme="minorEastAsia"/>
                <w:bCs/>
              </w:rPr>
            </w:pPr>
            <w:r>
              <w:rPr>
                <w:rFonts w:eastAsiaTheme="minorEastAsia"/>
                <w:bCs/>
              </w:rPr>
              <w:t>87</w:t>
            </w:r>
            <w:r w:rsidR="00B46055">
              <w:rPr>
                <w:rFonts w:eastAsiaTheme="minorEastAsia"/>
                <w:bCs/>
                <w:lang w:val="en-US"/>
              </w:rPr>
              <w:t>,</w:t>
            </w:r>
            <w:r>
              <w:rPr>
                <w:rFonts w:eastAsiaTheme="minorEastAsia"/>
                <w:bCs/>
              </w:rPr>
              <w:t>2%</w:t>
            </w:r>
          </w:p>
        </w:tc>
      </w:tr>
    </w:tbl>
    <w:p w14:paraId="2F256DC2" w14:textId="77777777" w:rsidR="00623D07" w:rsidRPr="001F748C" w:rsidRDefault="00623D07" w:rsidP="00623D07">
      <w:pPr>
        <w:ind w:firstLine="426"/>
        <w:jc w:val="center"/>
        <w:rPr>
          <w:color w:val="auto"/>
        </w:rPr>
      </w:pPr>
      <w:bookmarkStart w:id="11" w:name="SUB10500"/>
      <w:bookmarkEnd w:id="11"/>
    </w:p>
    <w:p w14:paraId="49F089D0" w14:textId="77777777" w:rsidR="00014C1A" w:rsidRPr="001F748C" w:rsidRDefault="00623D0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As a result of the analysis of the external and internal environment, the strengths and weaknesses of the Fund, as well as existing opportunities and threats, were identified and are presented below.</w:t>
      </w:r>
    </w:p>
    <w:tbl>
      <w:tblPr>
        <w:tblW w:w="5000" w:type="pct"/>
        <w:tblCellMar>
          <w:left w:w="0" w:type="dxa"/>
          <w:right w:w="0" w:type="dxa"/>
        </w:tblCellMar>
        <w:tblLook w:val="04A0" w:firstRow="1" w:lastRow="0" w:firstColumn="1" w:lastColumn="0" w:noHBand="0" w:noVBand="1"/>
      </w:tblPr>
      <w:tblGrid>
        <w:gridCol w:w="4880"/>
        <w:gridCol w:w="4880"/>
      </w:tblGrid>
      <w:tr w:rsidR="003B073E" w:rsidRPr="001F748C" w14:paraId="23ACEA5A" w14:textId="77777777">
        <w:trPr>
          <w:trHeight w:val="20"/>
        </w:trPr>
        <w:tc>
          <w:tcPr>
            <w:tcW w:w="250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2BE3BE57" w14:textId="77777777" w:rsidR="00014C1A" w:rsidRPr="001F748C" w:rsidRDefault="00003B0B">
            <w:pPr>
              <w:jc w:val="center"/>
              <w:rPr>
                <w:color w:val="auto"/>
              </w:rPr>
            </w:pPr>
            <w:r w:rsidRPr="00A157BD">
              <w:rPr>
                <w:b/>
                <w:bCs/>
                <w:color w:val="auto"/>
              </w:rPr>
              <w:t xml:space="preserve">S </w:t>
            </w:r>
            <w:r w:rsidRPr="001F748C">
              <w:rPr>
                <w:color w:val="auto"/>
              </w:rPr>
              <w:t>- Strengths</w:t>
            </w:r>
          </w:p>
        </w:tc>
        <w:tc>
          <w:tcPr>
            <w:tcW w:w="250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5B09D7E9" w14:textId="77777777" w:rsidR="00014C1A" w:rsidRPr="001F748C" w:rsidRDefault="00003B0B">
            <w:pPr>
              <w:jc w:val="center"/>
              <w:rPr>
                <w:color w:val="auto"/>
              </w:rPr>
            </w:pPr>
            <w:r w:rsidRPr="001F748C">
              <w:rPr>
                <w:b/>
                <w:bCs/>
                <w:color w:val="auto"/>
                <w:lang w:val="en-US"/>
              </w:rPr>
              <w:t>W</w:t>
            </w:r>
            <w:r w:rsidRPr="001F748C">
              <w:rPr>
                <w:color w:val="auto"/>
              </w:rPr>
              <w:t>- Weaknesses</w:t>
            </w:r>
          </w:p>
        </w:tc>
      </w:tr>
      <w:tr w:rsidR="003B073E" w:rsidRPr="00AB68BA" w14:paraId="1BFAA589"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BA736F8" w14:textId="77777777" w:rsidR="003B073E" w:rsidRPr="00CD5E54" w:rsidRDefault="003B073E" w:rsidP="003B073E">
            <w:pPr>
              <w:rPr>
                <w:color w:val="auto"/>
                <w:lang w:val="en-US"/>
              </w:rPr>
            </w:pPr>
            <w:r w:rsidRPr="00CD5E54">
              <w:rPr>
                <w:color w:val="auto"/>
                <w:lang w:val="en-US"/>
              </w:rPr>
              <w:t>• The presence of a strong shareholder (JSC NMH Baiterek), mutually beneficial cooperation with the Holding’s subsidiaries</w:t>
            </w:r>
          </w:p>
          <w:p w14:paraId="18F48B62" w14:textId="77777777" w:rsidR="003B073E" w:rsidRPr="00CD5E54" w:rsidRDefault="003B073E" w:rsidP="003B073E">
            <w:pPr>
              <w:rPr>
                <w:color w:val="auto"/>
                <w:lang w:val="en-US"/>
              </w:rPr>
            </w:pPr>
            <w:r w:rsidRPr="00CD5E54">
              <w:rPr>
                <w:color w:val="auto"/>
                <w:lang w:val="en-US"/>
              </w:rPr>
              <w:t>• Growth of assets, interest income and profitability of the Fund</w:t>
            </w:r>
          </w:p>
          <w:p w14:paraId="7893E66C" w14:textId="77777777" w:rsidR="003B073E" w:rsidRPr="00CD5E54" w:rsidRDefault="003B073E" w:rsidP="003B073E">
            <w:pPr>
              <w:rPr>
                <w:color w:val="auto"/>
                <w:lang w:val="en-US"/>
              </w:rPr>
            </w:pPr>
            <w:r w:rsidRPr="00CD5E54">
              <w:rPr>
                <w:color w:val="auto"/>
                <w:lang w:val="en-US"/>
              </w:rPr>
              <w:t>• Availability of a credit rating from S&amp;P at the level of the sovereign</w:t>
            </w:r>
          </w:p>
          <w:p w14:paraId="5CFBA36F" w14:textId="77777777" w:rsidR="003B073E" w:rsidRPr="00CD5E54" w:rsidRDefault="003B073E" w:rsidP="003B073E">
            <w:pPr>
              <w:rPr>
                <w:color w:val="auto"/>
                <w:lang w:val="en-US"/>
              </w:rPr>
            </w:pPr>
            <w:r w:rsidRPr="00CD5E54">
              <w:rPr>
                <w:color w:val="auto"/>
                <w:lang w:val="en-US"/>
              </w:rPr>
              <w:t>• Long-term experience in supporting MSMEs</w:t>
            </w:r>
          </w:p>
          <w:p w14:paraId="3CB9D03C" w14:textId="77777777" w:rsidR="003B073E" w:rsidRPr="00CD5E54" w:rsidRDefault="003B073E" w:rsidP="003B073E">
            <w:pPr>
              <w:rPr>
                <w:color w:val="auto"/>
                <w:lang w:val="en-US"/>
              </w:rPr>
            </w:pPr>
            <w:r w:rsidRPr="00CD5E54">
              <w:rPr>
                <w:color w:val="auto"/>
                <w:lang w:val="en-US"/>
              </w:rPr>
              <w:t>• A wide range of measures to support MSMEs</w:t>
            </w:r>
          </w:p>
          <w:p w14:paraId="3F7671C0" w14:textId="77777777" w:rsidR="003B073E" w:rsidRPr="00CD5E54" w:rsidRDefault="003B073E" w:rsidP="003B073E">
            <w:pPr>
              <w:rPr>
                <w:color w:val="auto"/>
                <w:lang w:val="en-US"/>
              </w:rPr>
            </w:pPr>
            <w:r w:rsidRPr="00CD5E54">
              <w:rPr>
                <w:color w:val="auto"/>
                <w:lang w:val="en-US"/>
              </w:rPr>
              <w:t>• A developed regional network of branches, allowing for high coverage of entrepreneur support tools</w:t>
            </w:r>
          </w:p>
          <w:p w14:paraId="3DF6B86E" w14:textId="77777777" w:rsidR="003B073E" w:rsidRPr="00CD5E54" w:rsidRDefault="003B073E" w:rsidP="003B073E">
            <w:pPr>
              <w:rPr>
                <w:color w:val="auto"/>
                <w:lang w:val="en-US"/>
              </w:rPr>
            </w:pPr>
            <w:r w:rsidRPr="00CD5E54">
              <w:rPr>
                <w:color w:val="auto"/>
                <w:lang w:val="en-US"/>
              </w:rPr>
              <w:t>• The Fund is the operator of state programs to support MSMEs</w:t>
            </w:r>
          </w:p>
          <w:p w14:paraId="3D0E1A18" w14:textId="77777777" w:rsidR="003B073E" w:rsidRPr="00CD5E54" w:rsidRDefault="003B073E" w:rsidP="003B073E">
            <w:pPr>
              <w:rPr>
                <w:color w:val="auto"/>
                <w:lang w:val="en-US"/>
              </w:rPr>
            </w:pPr>
            <w:r w:rsidRPr="00CD5E54">
              <w:rPr>
                <w:color w:val="auto"/>
                <w:lang w:val="en-US"/>
              </w:rPr>
              <w:t>• Well-established and effective support mechanisms and transparency in their implementation</w:t>
            </w:r>
          </w:p>
          <w:p w14:paraId="610BE528" w14:textId="77777777" w:rsidR="003B073E" w:rsidRPr="00CD5E54" w:rsidRDefault="003B073E" w:rsidP="003B073E">
            <w:pPr>
              <w:rPr>
                <w:color w:val="auto"/>
                <w:lang w:val="en-US"/>
              </w:rPr>
            </w:pPr>
            <w:r w:rsidRPr="00CD5E54">
              <w:rPr>
                <w:color w:val="auto"/>
                <w:lang w:val="en-US"/>
              </w:rPr>
              <w:t>• Focus on corporate social responsibility</w:t>
            </w:r>
          </w:p>
          <w:p w14:paraId="20631297" w14:textId="77777777" w:rsidR="003B073E" w:rsidRPr="00CD5E54" w:rsidRDefault="003B073E" w:rsidP="003B073E">
            <w:pPr>
              <w:rPr>
                <w:color w:val="auto"/>
                <w:lang w:val="en-US"/>
              </w:rPr>
            </w:pPr>
            <w:r w:rsidRPr="00CD5E54">
              <w:rPr>
                <w:color w:val="auto"/>
                <w:lang w:val="en-US"/>
              </w:rPr>
              <w:t>• A team of professionals with experience in financial institutions</w:t>
            </w:r>
          </w:p>
          <w:p w14:paraId="13CCE348" w14:textId="77777777" w:rsidR="003B073E" w:rsidRPr="00CD5E54" w:rsidRDefault="003B073E" w:rsidP="003B073E">
            <w:pPr>
              <w:rPr>
                <w:color w:val="auto"/>
                <w:lang w:val="en-US"/>
              </w:rPr>
            </w:pPr>
            <w:r w:rsidRPr="00CD5E54">
              <w:rPr>
                <w:color w:val="auto"/>
                <w:lang w:val="en-US"/>
              </w:rPr>
              <w:t>• Long-term partnership with foreign organizations providing support to MSMEs</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3637EC04" w14:textId="77777777" w:rsidR="003B073E" w:rsidRPr="00CD5E54" w:rsidRDefault="003B073E" w:rsidP="003B073E">
            <w:pPr>
              <w:rPr>
                <w:color w:val="auto"/>
                <w:lang w:val="en-US"/>
              </w:rPr>
            </w:pPr>
            <w:r w:rsidRPr="00CD5E54">
              <w:rPr>
                <w:color w:val="auto"/>
                <w:lang w:val="en-US"/>
              </w:rPr>
              <w:t>• Insufficient liquidity of the Fund</w:t>
            </w:r>
          </w:p>
          <w:p w14:paraId="1A662B66" w14:textId="77777777" w:rsidR="003B073E" w:rsidRPr="00CD5E54" w:rsidRDefault="003B073E" w:rsidP="003B073E">
            <w:pPr>
              <w:rPr>
                <w:color w:val="auto"/>
                <w:lang w:val="en-US"/>
              </w:rPr>
            </w:pPr>
            <w:r w:rsidRPr="00CD5E54">
              <w:rPr>
                <w:color w:val="auto"/>
                <w:lang w:val="en-US"/>
              </w:rPr>
              <w:t>• Low availability of financial services of the Fund for micro and small entrepreneurs</w:t>
            </w:r>
          </w:p>
          <w:p w14:paraId="5C9BA8A4" w14:textId="77777777" w:rsidR="003B073E" w:rsidRPr="00CD5E54" w:rsidRDefault="003B073E" w:rsidP="003B073E">
            <w:pPr>
              <w:rPr>
                <w:color w:val="auto"/>
                <w:lang w:val="en-US"/>
              </w:rPr>
            </w:pPr>
            <w:r w:rsidRPr="00CD5E54">
              <w:rPr>
                <w:color w:val="auto"/>
                <w:lang w:val="en-US"/>
              </w:rPr>
              <w:t>• The need to combine the tasks of ensuring the profitability of activities with the implementation of socially oriented non-profit programs</w:t>
            </w:r>
          </w:p>
          <w:p w14:paraId="5AA18B72" w14:textId="77777777" w:rsidR="003B073E" w:rsidRPr="00CD5E54" w:rsidRDefault="003B073E" w:rsidP="003B073E">
            <w:pPr>
              <w:rPr>
                <w:color w:val="auto"/>
                <w:lang w:val="en-US"/>
              </w:rPr>
            </w:pPr>
            <w:r w:rsidRPr="00CD5E54">
              <w:rPr>
                <w:color w:val="auto"/>
                <w:lang w:val="en-US"/>
              </w:rPr>
              <w:t>• Risk of deterioration of the financial condition of partner banks. As a result, a possible increase in the credit risks of the Damu Fund</w:t>
            </w:r>
          </w:p>
          <w:p w14:paraId="026F7586" w14:textId="77777777" w:rsidR="003B073E" w:rsidRPr="00CD5E54" w:rsidRDefault="003B073E" w:rsidP="003B073E">
            <w:pPr>
              <w:rPr>
                <w:color w:val="auto"/>
                <w:lang w:val="en-US"/>
              </w:rPr>
            </w:pPr>
            <w:r w:rsidRPr="00CD5E54">
              <w:rPr>
                <w:color w:val="auto"/>
                <w:lang w:val="en-US"/>
              </w:rPr>
              <w:t>• Limited opportunities to increase the Fund’s staff</w:t>
            </w:r>
          </w:p>
          <w:p w14:paraId="08FC58BF" w14:textId="77777777" w:rsidR="003B073E" w:rsidRPr="00CD5E54" w:rsidRDefault="003B073E" w:rsidP="003B073E">
            <w:pPr>
              <w:rPr>
                <w:color w:val="auto"/>
                <w:lang w:val="en-US"/>
              </w:rPr>
            </w:pPr>
            <w:r w:rsidRPr="00CD5E54">
              <w:rPr>
                <w:color w:val="auto"/>
                <w:lang w:val="en-US"/>
              </w:rPr>
              <w:t>• Insufficient awareness among potential beneficiaries of the availability and effectiveness of the Fund’s programs.</w:t>
            </w:r>
          </w:p>
          <w:p w14:paraId="53E53A4E" w14:textId="77777777" w:rsidR="003B073E" w:rsidRPr="00CD5E54" w:rsidRDefault="003B073E" w:rsidP="003B073E">
            <w:pPr>
              <w:rPr>
                <w:color w:val="auto"/>
                <w:lang w:val="en-US"/>
              </w:rPr>
            </w:pPr>
          </w:p>
        </w:tc>
      </w:tr>
      <w:tr w:rsidR="003B073E" w:rsidRPr="001F748C" w14:paraId="23ABA818"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9AD2FD7" w14:textId="70A07E21" w:rsidR="003B073E" w:rsidRPr="00A157BD" w:rsidRDefault="00A157BD" w:rsidP="003B073E">
            <w:pPr>
              <w:jc w:val="center"/>
              <w:rPr>
                <w:color w:val="auto"/>
                <w:highlight w:val="yellow"/>
                <w:lang w:val="en-US"/>
              </w:rPr>
            </w:pPr>
            <w:r>
              <w:rPr>
                <w:b/>
                <w:bCs/>
                <w:color w:val="auto"/>
                <w:lang w:val="en-US"/>
              </w:rPr>
              <w:t xml:space="preserve">O </w:t>
            </w:r>
            <w:r w:rsidR="003B073E" w:rsidRPr="001F748C">
              <w:rPr>
                <w:color w:val="auto"/>
              </w:rPr>
              <w:t xml:space="preserve">- </w:t>
            </w:r>
            <w:r>
              <w:rPr>
                <w:color w:val="auto"/>
                <w:lang w:val="en-US"/>
              </w:rPr>
              <w:t>Opportunities</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0411385B" w14:textId="77777777" w:rsidR="003B073E" w:rsidRPr="001F748C" w:rsidRDefault="003B073E" w:rsidP="003B073E">
            <w:pPr>
              <w:jc w:val="center"/>
              <w:rPr>
                <w:color w:val="auto"/>
                <w:highlight w:val="yellow"/>
              </w:rPr>
            </w:pPr>
            <w:r w:rsidRPr="001F748C">
              <w:rPr>
                <w:b/>
                <w:bCs/>
                <w:color w:val="auto"/>
              </w:rPr>
              <w:t>T</w:t>
            </w:r>
            <w:r w:rsidRPr="001F748C">
              <w:rPr>
                <w:color w:val="auto"/>
              </w:rPr>
              <w:t>- Threats</w:t>
            </w:r>
          </w:p>
        </w:tc>
      </w:tr>
      <w:tr w:rsidR="003B073E" w:rsidRPr="00A157BD" w14:paraId="404C9689"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B5C5A91" w14:textId="77777777" w:rsidR="003B073E" w:rsidRPr="00CD5E54" w:rsidRDefault="003B073E" w:rsidP="003B073E">
            <w:pPr>
              <w:rPr>
                <w:color w:val="auto"/>
                <w:lang w:val="en-US"/>
              </w:rPr>
            </w:pPr>
            <w:r w:rsidRPr="00CD5E54">
              <w:rPr>
                <w:color w:val="auto"/>
                <w:lang w:val="en-US"/>
              </w:rPr>
              <w:t>• Improving conditions for the creation and operation of MSMEs</w:t>
            </w:r>
          </w:p>
          <w:p w14:paraId="710B28D7" w14:textId="77777777" w:rsidR="003B073E" w:rsidRPr="00CD5E54" w:rsidRDefault="003B073E" w:rsidP="003B073E">
            <w:pPr>
              <w:rPr>
                <w:color w:val="auto"/>
                <w:lang w:val="en-US"/>
              </w:rPr>
            </w:pPr>
            <w:r w:rsidRPr="00CD5E54">
              <w:rPr>
                <w:color w:val="auto"/>
                <w:lang w:val="en-US"/>
              </w:rPr>
              <w:t>• Privatization of assets by private investors</w:t>
            </w:r>
          </w:p>
          <w:p w14:paraId="542ABAD6" w14:textId="77777777" w:rsidR="003B073E" w:rsidRPr="00CD5E54" w:rsidRDefault="003B073E" w:rsidP="003B073E">
            <w:pPr>
              <w:rPr>
                <w:color w:val="auto"/>
                <w:lang w:val="en-US"/>
              </w:rPr>
            </w:pPr>
            <w:r w:rsidRPr="00CD5E54">
              <w:rPr>
                <w:color w:val="auto"/>
                <w:lang w:val="en-US"/>
              </w:rPr>
              <w:t>• Attracting private investors to the activities of the Damu Fund and systematic diversification of funding sources</w:t>
            </w:r>
          </w:p>
          <w:p w14:paraId="064E91D1" w14:textId="77777777" w:rsidR="003B073E" w:rsidRPr="00CD5E54" w:rsidRDefault="003B073E" w:rsidP="003B073E">
            <w:pPr>
              <w:rPr>
                <w:color w:val="auto"/>
                <w:lang w:val="en-US"/>
              </w:rPr>
            </w:pPr>
            <w:r w:rsidRPr="00CD5E54">
              <w:rPr>
                <w:color w:val="auto"/>
                <w:lang w:val="en-US"/>
              </w:rPr>
              <w:t>• The need to organize accessible channels for obtaining financial services, improve entrepreneurial literacy, including business skills and awareness of the products and services of the Damu Fund.</w:t>
            </w:r>
          </w:p>
          <w:p w14:paraId="0F3CABE3" w14:textId="77777777" w:rsidR="003B073E" w:rsidRPr="00CD5E54" w:rsidRDefault="003B073E" w:rsidP="003B073E">
            <w:pPr>
              <w:rPr>
                <w:color w:val="auto"/>
                <w:lang w:val="en-US"/>
              </w:rPr>
            </w:pPr>
            <w:r w:rsidRPr="00CD5E54">
              <w:rPr>
                <w:color w:val="auto"/>
                <w:lang w:val="en-US"/>
              </w:rPr>
              <w:t>• Development of new effective tools to support MSMEs that meet market needs</w:t>
            </w:r>
          </w:p>
          <w:p w14:paraId="259AD658" w14:textId="77777777" w:rsidR="003B073E" w:rsidRPr="00CD5E54" w:rsidRDefault="003B073E" w:rsidP="003B073E">
            <w:pPr>
              <w:rPr>
                <w:color w:val="auto"/>
                <w:lang w:val="en-US"/>
              </w:rPr>
            </w:pPr>
            <w:r w:rsidRPr="00CD5E54">
              <w:rPr>
                <w:color w:val="auto"/>
                <w:lang w:val="en-US"/>
              </w:rPr>
              <w:t>• Expansion of partnerships with similar organizations around the world</w:t>
            </w:r>
          </w:p>
          <w:p w14:paraId="401DAE42" w14:textId="77777777" w:rsidR="003B073E" w:rsidRPr="00CD5E54" w:rsidRDefault="003B073E" w:rsidP="003B073E">
            <w:pPr>
              <w:rPr>
                <w:color w:val="auto"/>
                <w:lang w:val="en-US"/>
              </w:rPr>
            </w:pPr>
            <w:r w:rsidRPr="00CD5E54">
              <w:rPr>
                <w:color w:val="auto"/>
                <w:lang w:val="en-US"/>
              </w:rPr>
              <w:t xml:space="preserve">• Political instability in neighboring states  </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4DB2EDF8" w14:textId="77777777" w:rsidR="003B073E" w:rsidRPr="00CD5E54" w:rsidRDefault="003B073E" w:rsidP="003B073E">
            <w:pPr>
              <w:rPr>
                <w:color w:val="auto"/>
                <w:lang w:val="en-US"/>
              </w:rPr>
            </w:pPr>
            <w:r w:rsidRPr="00CD5E54">
              <w:rPr>
                <w:color w:val="auto"/>
                <w:lang w:val="en-US"/>
              </w:rPr>
              <w:t>• Weakening of the national currency</w:t>
            </w:r>
          </w:p>
          <w:p w14:paraId="646034AF" w14:textId="77777777" w:rsidR="003B073E" w:rsidRPr="00CD5E54" w:rsidRDefault="003B073E" w:rsidP="003B073E">
            <w:pPr>
              <w:rPr>
                <w:color w:val="auto"/>
                <w:lang w:val="en-US"/>
              </w:rPr>
            </w:pPr>
            <w:r w:rsidRPr="00CD5E54">
              <w:rPr>
                <w:color w:val="auto"/>
                <w:lang w:val="en-US"/>
              </w:rPr>
              <w:t>• Reduction of expenditures on financial programs to support entrepreneurship from the state budget</w:t>
            </w:r>
          </w:p>
          <w:p w14:paraId="59D20580" w14:textId="77777777" w:rsidR="003B073E" w:rsidRPr="000F33EB" w:rsidRDefault="003B073E" w:rsidP="003B073E">
            <w:pPr>
              <w:rPr>
                <w:color w:val="auto"/>
                <w:lang w:val="en-US"/>
              </w:rPr>
            </w:pPr>
            <w:r w:rsidRPr="000F33EB">
              <w:rPr>
                <w:color w:val="auto"/>
                <w:lang w:val="en-US"/>
              </w:rPr>
              <w:t>• Reduction of state funding</w:t>
            </w:r>
          </w:p>
          <w:p w14:paraId="6929D6DD" w14:textId="77777777" w:rsidR="003B073E" w:rsidRPr="000F33EB" w:rsidRDefault="003B073E" w:rsidP="003B073E">
            <w:pPr>
              <w:rPr>
                <w:color w:val="auto"/>
                <w:lang w:val="en-US"/>
              </w:rPr>
            </w:pPr>
            <w:r w:rsidRPr="000F33EB">
              <w:rPr>
                <w:color w:val="auto"/>
                <w:lang w:val="en-US"/>
              </w:rPr>
              <w:t>• Risk of default of counterparties (financial partners, MSMEs)</w:t>
            </w:r>
          </w:p>
          <w:p w14:paraId="0524D48D" w14:textId="77777777" w:rsidR="003B073E" w:rsidRPr="000F33EB" w:rsidRDefault="003B073E" w:rsidP="003B073E">
            <w:pPr>
              <w:rPr>
                <w:color w:val="auto"/>
                <w:lang w:val="en-US"/>
              </w:rPr>
            </w:pPr>
            <w:r w:rsidRPr="000F33EB">
              <w:rPr>
                <w:color w:val="auto"/>
                <w:lang w:val="en-US"/>
              </w:rPr>
              <w:t>• Low level of trust of private entrepreneurs in companies with state participation that provide support for entrepreneurship</w:t>
            </w:r>
          </w:p>
          <w:p w14:paraId="70FAC6CA" w14:textId="77777777" w:rsidR="003B073E" w:rsidRPr="000F33EB" w:rsidRDefault="003B073E" w:rsidP="003B073E">
            <w:pPr>
              <w:rPr>
                <w:color w:val="auto"/>
                <w:lang w:val="en-US"/>
              </w:rPr>
            </w:pPr>
            <w:r w:rsidRPr="000F33EB">
              <w:rPr>
                <w:color w:val="auto"/>
                <w:lang w:val="en-US"/>
              </w:rPr>
              <w:t>• Low level of entrepreneurial culture</w:t>
            </w:r>
          </w:p>
          <w:p w14:paraId="5FA91B9B" w14:textId="77777777" w:rsidR="003B073E" w:rsidRPr="000F33EB" w:rsidRDefault="003B073E" w:rsidP="003B073E">
            <w:pPr>
              <w:rPr>
                <w:color w:val="auto"/>
                <w:lang w:val="en-US"/>
              </w:rPr>
            </w:pPr>
            <w:r w:rsidRPr="000F33EB">
              <w:rPr>
                <w:color w:val="auto"/>
                <w:lang w:val="en-US"/>
              </w:rPr>
              <w:t>• Changes in legislation or government policy may affect the terms and conditions of support available</w:t>
            </w:r>
          </w:p>
          <w:p w14:paraId="7594FC9F" w14:textId="5B9554D1" w:rsidR="003B073E" w:rsidRPr="00A157BD" w:rsidRDefault="003B073E" w:rsidP="003B073E">
            <w:pPr>
              <w:rPr>
                <w:color w:val="auto"/>
                <w:lang w:val="en-US"/>
              </w:rPr>
            </w:pPr>
            <w:r w:rsidRPr="00A157BD">
              <w:rPr>
                <w:color w:val="auto"/>
                <w:lang w:val="en-US"/>
              </w:rPr>
              <w:t xml:space="preserve">• Political instability in neighboring </w:t>
            </w:r>
            <w:r w:rsidR="00A157BD">
              <w:rPr>
                <w:color w:val="auto"/>
                <w:lang w:val="en-US"/>
              </w:rPr>
              <w:t>countries</w:t>
            </w:r>
            <w:r w:rsidRPr="00A157BD">
              <w:rPr>
                <w:color w:val="auto"/>
                <w:lang w:val="en-US"/>
              </w:rPr>
              <w:t xml:space="preserve">  </w:t>
            </w:r>
          </w:p>
          <w:p w14:paraId="6FAC4E81" w14:textId="77777777" w:rsidR="003B073E" w:rsidRPr="00A157BD" w:rsidRDefault="003B073E" w:rsidP="003B073E">
            <w:pPr>
              <w:rPr>
                <w:color w:val="auto"/>
                <w:lang w:val="en-US"/>
              </w:rPr>
            </w:pPr>
          </w:p>
        </w:tc>
      </w:tr>
    </w:tbl>
    <w:p w14:paraId="5537E05B" w14:textId="77777777" w:rsidR="00014C1A" w:rsidRPr="00A157BD" w:rsidRDefault="00014C1A">
      <w:pPr>
        <w:ind w:firstLine="426"/>
        <w:jc w:val="both"/>
        <w:rPr>
          <w:color w:val="auto"/>
          <w:lang w:val="en-US"/>
        </w:rPr>
      </w:pPr>
    </w:p>
    <w:p w14:paraId="5BA6F40D" w14:textId="77777777" w:rsidR="00033805" w:rsidRPr="00A157BD" w:rsidRDefault="00033805" w:rsidP="00DB480F">
      <w:pPr>
        <w:tabs>
          <w:tab w:val="left" w:pos="993"/>
        </w:tabs>
        <w:ind w:firstLine="567"/>
        <w:jc w:val="both"/>
        <w:rPr>
          <w:color w:val="auto"/>
          <w:lang w:val="en-US"/>
        </w:rPr>
      </w:pPr>
      <w:bookmarkStart w:id="12" w:name="SUB10600"/>
      <w:bookmarkStart w:id="13" w:name="SUB200"/>
      <w:bookmarkEnd w:id="12"/>
      <w:bookmarkEnd w:id="13"/>
    </w:p>
    <w:p w14:paraId="6EDFE858" w14:textId="77777777" w:rsidR="00033805" w:rsidRPr="00A157BD" w:rsidRDefault="00033805" w:rsidP="00A157BD">
      <w:pPr>
        <w:tabs>
          <w:tab w:val="left" w:pos="993"/>
        </w:tabs>
        <w:jc w:val="both"/>
        <w:rPr>
          <w:color w:val="auto"/>
          <w:lang w:val="en-US"/>
        </w:rPr>
      </w:pPr>
    </w:p>
    <w:p w14:paraId="1EE16DD5" w14:textId="77777777" w:rsidR="00033805" w:rsidRPr="00A157BD" w:rsidRDefault="00033805" w:rsidP="00DB480F">
      <w:pPr>
        <w:tabs>
          <w:tab w:val="left" w:pos="993"/>
        </w:tabs>
        <w:ind w:firstLine="567"/>
        <w:jc w:val="both"/>
        <w:rPr>
          <w:color w:val="auto"/>
          <w:lang w:val="en-US"/>
        </w:rPr>
      </w:pPr>
    </w:p>
    <w:p w14:paraId="493F5394" w14:textId="64CC90E3" w:rsidR="00014C1A" w:rsidRPr="00CD5E54" w:rsidRDefault="00111B5F" w:rsidP="00033805">
      <w:pPr>
        <w:tabs>
          <w:tab w:val="left" w:pos="993"/>
        </w:tabs>
        <w:ind w:firstLine="567"/>
        <w:jc w:val="center"/>
        <w:rPr>
          <w:rStyle w:val="s1"/>
          <w:color w:val="auto"/>
          <w:lang w:val="en-US"/>
        </w:rPr>
      </w:pPr>
      <w:r w:rsidRPr="00CD5E54">
        <w:rPr>
          <w:rStyle w:val="s1"/>
          <w:color w:val="auto"/>
          <w:lang w:val="en-US"/>
        </w:rPr>
        <w:t xml:space="preserve">Chapter 3. Mission and Vision of the Damu </w:t>
      </w:r>
      <w:r w:rsidR="00A157BD">
        <w:rPr>
          <w:rStyle w:val="s1"/>
          <w:color w:val="auto"/>
          <w:lang w:val="en-US"/>
        </w:rPr>
        <w:t>Fund</w:t>
      </w:r>
    </w:p>
    <w:p w14:paraId="1D762E62" w14:textId="77777777" w:rsidR="00014C1A" w:rsidRPr="00CD5E54" w:rsidRDefault="00014C1A" w:rsidP="00DB480F">
      <w:pPr>
        <w:tabs>
          <w:tab w:val="left" w:pos="993"/>
        </w:tabs>
        <w:ind w:firstLine="567"/>
        <w:jc w:val="center"/>
        <w:rPr>
          <w:rStyle w:val="s1"/>
          <w:color w:val="auto"/>
          <w:lang w:val="en-US"/>
        </w:rPr>
      </w:pPr>
    </w:p>
    <w:p w14:paraId="59DE225E" w14:textId="77777777" w:rsidR="004D4105" w:rsidRPr="00CD5E54" w:rsidRDefault="00111B5F"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Fund's mission until 2033 is to implement comprehensive and effective support tools for the sustainable development of micro, small, and medium-sized businesses in Kazakhstan.</w:t>
      </w:r>
    </w:p>
    <w:p w14:paraId="39D955E7" w14:textId="77777777" w:rsidR="00014C1A" w:rsidRPr="00CD5E54" w:rsidRDefault="004306A5"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Fund's vision for 2033: The Damu Fund will be a national development institution providing comprehensive financial and non-financial support to entrepreneurs in a one-stop shop format, with a focus on supporting production, export, and innovation projects.</w:t>
      </w:r>
    </w:p>
    <w:p w14:paraId="61C14C04" w14:textId="0F7564AB" w:rsidR="006F56E3" w:rsidRPr="00CD5E54" w:rsidRDefault="00325498"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In pursuing its mission and vision,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is tasked with achieving the following key objectives by 2033.</w:t>
      </w:r>
    </w:p>
    <w:p w14:paraId="4F8E3222" w14:textId="77777777" w:rsidR="00E74376" w:rsidRPr="00CD5E54" w:rsidRDefault="00233F44" w:rsidP="00FF5E47">
      <w:pPr>
        <w:pStyle w:val="af1"/>
        <w:numPr>
          <w:ilvl w:val="0"/>
          <w:numId w:val="2"/>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Reducing the share of state participation in the country's economy:</w:t>
      </w:r>
    </w:p>
    <w:p w14:paraId="1D2625C9" w14:textId="77777777" w:rsidR="00233F44" w:rsidRPr="00CD5E54" w:rsidRDefault="00E74376" w:rsidP="00FF5E47">
      <w:pPr>
        <w:pStyle w:val="af1"/>
        <w:tabs>
          <w:tab w:val="left" w:pos="993"/>
        </w:tabs>
        <w:spacing w:after="0" w:line="240" w:lineRule="auto"/>
        <w:ind w:left="567"/>
        <w:jc w:val="both"/>
        <w:rPr>
          <w:rFonts w:ascii="Times New Roman" w:hAnsi="Times New Roman"/>
          <w:bCs/>
          <w:sz w:val="24"/>
          <w:szCs w:val="24"/>
          <w:lang w:val="en-US"/>
        </w:rPr>
      </w:pPr>
      <w:r w:rsidRPr="00CD5E54">
        <w:rPr>
          <w:rFonts w:ascii="Times New Roman" w:hAnsi="Times New Roman"/>
          <w:bCs/>
          <w:sz w:val="24"/>
          <w:szCs w:val="24"/>
          <w:lang w:val="en-US"/>
        </w:rPr>
        <w:t>- development of new support programs aimed at developing a guarantee instrument, such as the Guarantee Fund for Support of Private Enterprises - as the main operator of the guarantee instrument in the country and the consistent reduction of the subsidy instrument;</w:t>
      </w:r>
    </w:p>
    <w:p w14:paraId="5B8444EB" w14:textId="77777777" w:rsidR="002F3658" w:rsidRPr="00CD5E54" w:rsidRDefault="00E74376" w:rsidP="00DB480F">
      <w:pPr>
        <w:pStyle w:val="af1"/>
        <w:tabs>
          <w:tab w:val="left" w:pos="993"/>
        </w:tabs>
        <w:spacing w:after="0" w:line="240" w:lineRule="auto"/>
        <w:ind w:left="567"/>
        <w:jc w:val="both"/>
        <w:rPr>
          <w:rFonts w:ascii="Times New Roman" w:hAnsi="Times New Roman"/>
          <w:bCs/>
          <w:sz w:val="24"/>
          <w:szCs w:val="24"/>
          <w:lang w:val="en-US"/>
        </w:rPr>
      </w:pPr>
      <w:r w:rsidRPr="00CD5E54">
        <w:rPr>
          <w:rFonts w:ascii="Times New Roman" w:hAnsi="Times New Roman"/>
          <w:bCs/>
          <w:sz w:val="24"/>
          <w:szCs w:val="24"/>
          <w:lang w:val="en-US"/>
        </w:rPr>
        <w:t>- attracting non-governmental funding sources, including through the issuance of bonds (green, social, sustainable development bonds, etc.);</w:t>
      </w:r>
    </w:p>
    <w:p w14:paraId="7C54CE59" w14:textId="77777777" w:rsidR="00E74376" w:rsidRPr="00CD5E54" w:rsidRDefault="00E74376" w:rsidP="00DC3E02">
      <w:pPr>
        <w:pStyle w:val="af1"/>
        <w:tabs>
          <w:tab w:val="left" w:pos="993"/>
        </w:tabs>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development of non-financial support for entrepreneurs (improving qualifications, including through international financial institutions).</w:t>
      </w:r>
    </w:p>
    <w:p w14:paraId="5C7D2A83" w14:textId="53EFAF8F" w:rsidR="007D3E02" w:rsidRPr="00CD5E54" w:rsidRDefault="004774FB" w:rsidP="0031388A">
      <w:pPr>
        <w:pStyle w:val="af1"/>
        <w:numPr>
          <w:ilvl w:val="0"/>
          <w:numId w:val="2"/>
        </w:numPr>
        <w:tabs>
          <w:tab w:val="left" w:pos="993"/>
        </w:tabs>
        <w:spacing w:after="0" w:line="240" w:lineRule="auto"/>
        <w:ind w:left="567" w:firstLine="0"/>
        <w:jc w:val="both"/>
        <w:rPr>
          <w:rFonts w:ascii="Times New Roman" w:hAnsi="Times New Roman"/>
          <w:sz w:val="24"/>
          <w:szCs w:val="24"/>
          <w:lang w:val="en-US"/>
        </w:rPr>
      </w:pPr>
      <w:r w:rsidRPr="004774FB">
        <w:rPr>
          <w:rFonts w:ascii="Times New Roman" w:hAnsi="Times New Roman"/>
          <w:bCs/>
          <w:sz w:val="24"/>
          <w:szCs w:val="24"/>
          <w:lang w:val="en-US"/>
        </w:rPr>
        <w:t>Active support for medium-sized businesses and promotion of small business growth</w:t>
      </w:r>
      <w:r w:rsidR="00EF5323" w:rsidRPr="00CD5E54">
        <w:rPr>
          <w:rFonts w:ascii="Times New Roman" w:hAnsi="Times New Roman"/>
          <w:sz w:val="24"/>
          <w:szCs w:val="24"/>
          <w:lang w:val="en-US"/>
        </w:rPr>
        <w:t>:</w:t>
      </w:r>
    </w:p>
    <w:p w14:paraId="48D4B8EF" w14:textId="77777777" w:rsidR="00EC4EF8" w:rsidRPr="00CD5E54"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support for priority sectors of the economy;</w:t>
      </w:r>
    </w:p>
    <w:p w14:paraId="23C77E65" w14:textId="77777777" w:rsidR="00EC4EF8" w:rsidRPr="00CD5E54" w:rsidRDefault="00B5448D"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support for effective, competitive projects aimed at increasing labor productivity, developing export potential and creating products with high added value;</w:t>
      </w:r>
    </w:p>
    <w:p w14:paraId="3748ACCD" w14:textId="77777777" w:rsidR="00EC4EF8" w:rsidRPr="00CD5E54"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priority financing of technological, export-oriented projects, as well as projects generating foreign exchange earnings, including digital, innovative and foreign economic initiatives of MSMEs;</w:t>
      </w:r>
    </w:p>
    <w:p w14:paraId="7A1A1294" w14:textId="77777777" w:rsidR="00273B65" w:rsidRPr="00CD5E54" w:rsidRDefault="00273B65"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development of export analytics and integration of artificial intelligence (AI) tools to generate targeted solutions for MSMEs entering foreign markets, including through the processing of large amounts of foreign economic data;</w:t>
      </w:r>
    </w:p>
    <w:p w14:paraId="5547BD5D" w14:textId="77777777" w:rsidR="00EC4EF8" w:rsidRPr="00CD5E54"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strengthening counter-demands for supported entrepreneurship projects: creation of new jobs, increase in tax revenues;</w:t>
      </w:r>
    </w:p>
    <w:p w14:paraId="3C386D88" w14:textId="77777777" w:rsidR="005B23E1" w:rsidRPr="00CD5E54"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proactive work with regions, with the aim of promoting targeted regional programs, taking into account the specifics of the regions (geography, ecology, population outflow, etc.);</w:t>
      </w:r>
    </w:p>
    <w:p w14:paraId="5BCEBE97" w14:textId="77777777" w:rsidR="00EC4EF8" w:rsidRPr="00CD5E54" w:rsidRDefault="005B23E1"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en-US"/>
        </w:rPr>
      </w:pPr>
      <w:r w:rsidRPr="00CD5E54">
        <w:rPr>
          <w:rFonts w:ascii="Times New Roman" w:hAnsi="Times New Roman"/>
          <w:bCs/>
          <w:sz w:val="24"/>
          <w:szCs w:val="24"/>
          <w:lang w:val="en-US"/>
        </w:rPr>
        <w:t>development and implementation of mechanisms for assessing regional differences and adapting support measures taking into account the territorial, infrastructural, and economic characteristics of regions, including pilot regional programs.</w:t>
      </w:r>
    </w:p>
    <w:p w14:paraId="25728BF0" w14:textId="77777777" w:rsidR="007D3E02" w:rsidRPr="001F748C" w:rsidRDefault="00512480"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785D37">
        <w:rPr>
          <w:rFonts w:ascii="Times New Roman" w:hAnsi="Times New Roman"/>
          <w:sz w:val="24"/>
          <w:szCs w:val="24"/>
        </w:rPr>
        <w:t>Development of alternative support instruments through products of the Kazakh stock market, including within the framework of the mechanism for providing guarantees for corporate bonds of SMEs and subsidies, as well as other financial instruments in accordance with the Holding's Investment Policy.</w:t>
      </w:r>
    </w:p>
    <w:p w14:paraId="366F2AF0" w14:textId="145873A0" w:rsidR="007D3E02" w:rsidRPr="001F748C" w:rsidRDefault="00EF5323"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1F748C">
        <w:rPr>
          <w:rFonts w:ascii="Times New Roman" w:hAnsi="Times New Roman"/>
          <w:bCs/>
          <w:sz w:val="24"/>
          <w:szCs w:val="24"/>
        </w:rPr>
        <w:t xml:space="preserve">Implementation of IT&amp;Tech solutions for the digitalization of business processes, with the goal of converting the </w:t>
      </w:r>
      <w:r w:rsidR="00A157BD">
        <w:rPr>
          <w:rFonts w:ascii="Times New Roman" w:hAnsi="Times New Roman"/>
          <w:bCs/>
          <w:sz w:val="24"/>
          <w:szCs w:val="24"/>
        </w:rPr>
        <w:t>Fund</w:t>
      </w:r>
      <w:r w:rsidRPr="001F748C">
        <w:rPr>
          <w:rFonts w:ascii="Times New Roman" w:hAnsi="Times New Roman"/>
          <w:bCs/>
          <w:sz w:val="24"/>
          <w:szCs w:val="24"/>
        </w:rPr>
        <w:t>'s front office to an online office:</w:t>
      </w:r>
    </w:p>
    <w:p w14:paraId="61CF0E3B" w14:textId="77777777" w:rsidR="006B7C20" w:rsidRPr="00CD5E54" w:rsidRDefault="00A06AD8" w:rsidP="00DB480F">
      <w:pPr>
        <w:tabs>
          <w:tab w:val="left" w:pos="993"/>
        </w:tabs>
        <w:ind w:left="567"/>
        <w:jc w:val="both"/>
        <w:rPr>
          <w:rFonts w:eastAsia="Calibri"/>
          <w:color w:val="auto"/>
          <w:lang w:val="en-US"/>
        </w:rPr>
      </w:pPr>
      <w:r w:rsidRPr="00CD5E54">
        <w:rPr>
          <w:rFonts w:eastAsia="Calibri"/>
          <w:color w:val="auto"/>
          <w:lang w:val="en-US"/>
        </w:rPr>
        <w:t>- digitalization of business processes (using artificial intelligence and the introduction of modern technologies and tools);</w:t>
      </w:r>
    </w:p>
    <w:p w14:paraId="5F61CD7D" w14:textId="77777777" w:rsidR="007D3E02" w:rsidRPr="00CD5E54" w:rsidRDefault="00EF5323" w:rsidP="00DB480F">
      <w:pPr>
        <w:tabs>
          <w:tab w:val="left" w:pos="993"/>
        </w:tabs>
        <w:ind w:left="567"/>
        <w:jc w:val="both"/>
        <w:rPr>
          <w:rFonts w:eastAsia="Calibri"/>
          <w:color w:val="auto"/>
          <w:lang w:val="en-US"/>
        </w:rPr>
      </w:pPr>
      <w:r w:rsidRPr="00CD5E54">
        <w:rPr>
          <w:rFonts w:eastAsia="Calibri"/>
          <w:color w:val="auto"/>
          <w:lang w:val="en-US"/>
        </w:rPr>
        <w:t>- creation of an ecosystem, transformation of traditional regional branches into a new digital format;</w:t>
      </w:r>
    </w:p>
    <w:p w14:paraId="46152F5E" w14:textId="77777777" w:rsidR="007D3E02" w:rsidRPr="00CD5E54" w:rsidRDefault="00EF5323" w:rsidP="00DB480F">
      <w:pPr>
        <w:tabs>
          <w:tab w:val="left" w:pos="993"/>
        </w:tabs>
        <w:ind w:left="567"/>
        <w:jc w:val="both"/>
        <w:rPr>
          <w:rFonts w:eastAsia="Calibri"/>
          <w:color w:val="auto"/>
          <w:lang w:val="en-US"/>
        </w:rPr>
      </w:pPr>
      <w:r w:rsidRPr="00CD5E54">
        <w:rPr>
          <w:rFonts w:eastAsia="Calibri"/>
          <w:color w:val="auto"/>
          <w:lang w:val="en-US"/>
        </w:rPr>
        <w:t>- transfer of front office operations to IT platforms.</w:t>
      </w:r>
    </w:p>
    <w:p w14:paraId="35C705C3" w14:textId="77777777" w:rsidR="00FF5E78" w:rsidRPr="007D553E" w:rsidRDefault="00FF5E78"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7D553E">
        <w:rPr>
          <w:rFonts w:ascii="Times New Roman" w:hAnsi="Times New Roman"/>
          <w:bCs/>
          <w:sz w:val="24"/>
          <w:szCs w:val="24"/>
        </w:rPr>
        <w:t>Implementation and integration of ESG factors:</w:t>
      </w:r>
    </w:p>
    <w:p w14:paraId="2F34D0CC" w14:textId="77777777" w:rsidR="00FF5E78" w:rsidRPr="00CD5E54" w:rsidRDefault="00FF5E78" w:rsidP="00DB480F">
      <w:pPr>
        <w:pStyle w:val="af1"/>
        <w:tabs>
          <w:tab w:val="left" w:pos="993"/>
        </w:tabs>
        <w:spacing w:after="0" w:line="240" w:lineRule="auto"/>
        <w:ind w:left="567"/>
        <w:jc w:val="both"/>
        <w:rPr>
          <w:rFonts w:ascii="Times New Roman" w:hAnsi="Times New Roman"/>
          <w:bCs/>
          <w:sz w:val="24"/>
          <w:szCs w:val="24"/>
          <w:lang w:val="en-US"/>
        </w:rPr>
      </w:pPr>
      <w:r w:rsidRPr="007D553E">
        <w:rPr>
          <w:rFonts w:ascii="Times New Roman" w:hAnsi="Times New Roman"/>
          <w:bCs/>
          <w:sz w:val="24"/>
          <w:szCs w:val="24"/>
        </w:rPr>
        <w:t>- integration of environmental, social and corporate sustainability (ESG) principles into the Fund’s activities on a systematic basis;</w:t>
      </w:r>
    </w:p>
    <w:p w14:paraId="183AFC7A" w14:textId="77777777" w:rsidR="00FF5E78" w:rsidRPr="007D553E" w:rsidRDefault="00FF5E78" w:rsidP="00DB480F">
      <w:pPr>
        <w:pStyle w:val="af1"/>
        <w:tabs>
          <w:tab w:val="left" w:pos="993"/>
        </w:tabs>
        <w:spacing w:after="0" w:line="240" w:lineRule="auto"/>
        <w:ind w:left="567"/>
        <w:jc w:val="both"/>
        <w:rPr>
          <w:rFonts w:ascii="Times New Roman" w:hAnsi="Times New Roman"/>
          <w:bCs/>
          <w:sz w:val="24"/>
          <w:szCs w:val="24"/>
        </w:rPr>
      </w:pPr>
      <w:r w:rsidRPr="007D553E">
        <w:rPr>
          <w:rFonts w:ascii="Times New Roman" w:hAnsi="Times New Roman"/>
          <w:bCs/>
          <w:sz w:val="24"/>
          <w:szCs w:val="24"/>
        </w:rPr>
        <w:t>- improving internal processes and practices in accordance with international ESG standards in order to increase the sustainability and transparency of operations.</w:t>
      </w:r>
    </w:p>
    <w:p w14:paraId="29F48A0C" w14:textId="77777777" w:rsidR="00966A16" w:rsidRPr="00CD5E54" w:rsidRDefault="00966A1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For each of the key objectives of this Strategy, strategic key performance indicators of the Damu Fund are provided, with target values ​​defined until 2033.</w:t>
      </w:r>
    </w:p>
    <w:p w14:paraId="2560AAE7" w14:textId="77777777" w:rsidR="00DB533F" w:rsidRPr="00EB0404" w:rsidRDefault="00DB533F" w:rsidP="0031388A">
      <w:pPr>
        <w:pStyle w:val="af1"/>
        <w:numPr>
          <w:ilvl w:val="0"/>
          <w:numId w:val="3"/>
        </w:numPr>
        <w:tabs>
          <w:tab w:val="left" w:pos="567"/>
          <w:tab w:val="left" w:pos="709"/>
          <w:tab w:val="left" w:pos="851"/>
          <w:tab w:val="left" w:pos="993"/>
        </w:tabs>
        <w:spacing w:after="0" w:line="240" w:lineRule="auto"/>
        <w:ind w:left="0" w:firstLine="567"/>
        <w:jc w:val="both"/>
      </w:pPr>
      <w:r w:rsidRPr="00CD5E54">
        <w:rPr>
          <w:rFonts w:ascii="Times New Roman" w:hAnsi="Times New Roman"/>
          <w:sz w:val="24"/>
          <w:szCs w:val="24"/>
          <w:lang w:val="en-US"/>
        </w:rPr>
        <w:t>A detailed action plan with annual interim target values ​​is provided within the framework of the Fund's Development Plan, which is approved by the Fund's Board of Directors for a five-year period.</w:t>
      </w:r>
    </w:p>
    <w:p w14:paraId="088930C5" w14:textId="77777777" w:rsidR="00014C1A" w:rsidRPr="00CD5E54" w:rsidRDefault="00111B5F" w:rsidP="006D4154">
      <w:pPr>
        <w:pageBreakBefore/>
        <w:jc w:val="center"/>
        <w:rPr>
          <w:rStyle w:val="s1"/>
          <w:color w:val="auto"/>
          <w:lang w:val="en-US"/>
        </w:rPr>
      </w:pPr>
      <w:bookmarkStart w:id="14" w:name="SUB300"/>
      <w:bookmarkEnd w:id="14"/>
      <w:r w:rsidRPr="00CD5E54">
        <w:rPr>
          <w:rStyle w:val="s1"/>
          <w:color w:val="auto"/>
          <w:lang w:val="en-US"/>
        </w:rPr>
        <w:lastRenderedPageBreak/>
        <w:t>Chapter 4. Strategic directions of the Damu Fund's activities</w:t>
      </w:r>
    </w:p>
    <w:p w14:paraId="1220A8AC" w14:textId="77777777" w:rsidR="00014C1A" w:rsidRPr="00CD5E54" w:rsidRDefault="00014C1A">
      <w:pPr>
        <w:ind w:firstLine="426"/>
        <w:jc w:val="center"/>
        <w:rPr>
          <w:color w:val="auto"/>
          <w:lang w:val="en-US"/>
        </w:rPr>
      </w:pPr>
    </w:p>
    <w:p w14:paraId="09F37D51" w14:textId="77777777" w:rsidR="004B76A0" w:rsidRPr="00CD5E54" w:rsidRDefault="007D553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provides support to MSMEs through both financial instruments (subsidizing interest rates on loans (with a gradual reduction in the amount of subsidies), guaranteeing the obligations of entrepreneurs, conditional placement of funds in second-tier banks, microcredit) and non-financial ones (organization of training programs for entrepreneurs, advanced training, including through international financial institutions).</w:t>
      </w:r>
    </w:p>
    <w:p w14:paraId="5D1B540E" w14:textId="77777777" w:rsidR="00014C1A" w:rsidRPr="00CD5E54"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achieve its mission and vision, the Damu Fund is focused on achieving two key strategic development directions:</w:t>
      </w:r>
    </w:p>
    <w:p w14:paraId="7C748FCC" w14:textId="77777777" w:rsidR="00014C1A" w:rsidRPr="00CD5E54" w:rsidRDefault="00003B0B" w:rsidP="00DB480F">
      <w:pPr>
        <w:tabs>
          <w:tab w:val="left" w:pos="993"/>
        </w:tabs>
        <w:ind w:firstLine="567"/>
        <w:jc w:val="both"/>
        <w:rPr>
          <w:color w:val="auto"/>
          <w:lang w:val="en-US"/>
        </w:rPr>
      </w:pPr>
      <w:r w:rsidRPr="00CD5E54">
        <w:rPr>
          <w:color w:val="auto"/>
          <w:lang w:val="en-US"/>
        </w:rPr>
        <w:t>1. Support and development of beginning and existing entities of micro, small and medium entrepreneurship.</w:t>
      </w:r>
    </w:p>
    <w:p w14:paraId="1EBD88D6" w14:textId="77777777" w:rsidR="00014C1A" w:rsidRPr="00CD5E54" w:rsidRDefault="00003B0B" w:rsidP="00DB480F">
      <w:pPr>
        <w:tabs>
          <w:tab w:val="left" w:pos="993"/>
        </w:tabs>
        <w:ind w:firstLine="567"/>
        <w:jc w:val="both"/>
        <w:rPr>
          <w:color w:val="auto"/>
          <w:lang w:val="en-US"/>
        </w:rPr>
      </w:pPr>
      <w:r w:rsidRPr="00CD5E54">
        <w:rPr>
          <w:color w:val="auto"/>
          <w:lang w:val="en-US"/>
        </w:rPr>
        <w:t>2. Sustainable institutional development of the Damu Fund.</w:t>
      </w:r>
    </w:p>
    <w:p w14:paraId="683739A7" w14:textId="77777777" w:rsidR="00014C1A" w:rsidRPr="00CD5E54" w:rsidRDefault="00014C1A">
      <w:pPr>
        <w:ind w:firstLine="426"/>
        <w:jc w:val="both"/>
        <w:rPr>
          <w:color w:val="auto"/>
          <w:lang w:val="en-US"/>
        </w:rPr>
      </w:pPr>
    </w:p>
    <w:tbl>
      <w:tblPr>
        <w:tblW w:w="9356" w:type="dxa"/>
        <w:tblInd w:w="-10" w:type="dxa"/>
        <w:tblCellMar>
          <w:left w:w="0" w:type="dxa"/>
          <w:right w:w="0" w:type="dxa"/>
        </w:tblCellMar>
        <w:tblLook w:val="04A0" w:firstRow="1" w:lastRow="0" w:firstColumn="1" w:lastColumn="0" w:noHBand="0" w:noVBand="1"/>
      </w:tblPr>
      <w:tblGrid>
        <w:gridCol w:w="441"/>
        <w:gridCol w:w="4237"/>
        <w:gridCol w:w="4678"/>
      </w:tblGrid>
      <w:tr w:rsidR="00666643" w:rsidRPr="001F748C" w14:paraId="37DD68AC" w14:textId="77777777" w:rsidTr="00F75B35">
        <w:trPr>
          <w:trHeight w:val="20"/>
        </w:trPr>
        <w:tc>
          <w:tcPr>
            <w:tcW w:w="441"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29ABB98D" w14:textId="77777777" w:rsidR="00014C1A" w:rsidRPr="001F748C" w:rsidRDefault="00003B0B">
            <w:pPr>
              <w:jc w:val="center"/>
              <w:rPr>
                <w:color w:val="auto"/>
              </w:rPr>
            </w:pPr>
            <w:r w:rsidRPr="001F748C">
              <w:rPr>
                <w:b/>
                <w:bCs/>
                <w:color w:val="auto"/>
              </w:rPr>
              <w:t>No.</w:t>
            </w:r>
          </w:p>
        </w:tc>
        <w:tc>
          <w:tcPr>
            <w:tcW w:w="423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BFA0FB1" w14:textId="77777777" w:rsidR="00014C1A" w:rsidRPr="001F748C" w:rsidRDefault="00003B0B">
            <w:pPr>
              <w:jc w:val="center"/>
              <w:rPr>
                <w:color w:val="auto"/>
              </w:rPr>
            </w:pPr>
            <w:r w:rsidRPr="001F748C">
              <w:rPr>
                <w:b/>
                <w:bCs/>
                <w:color w:val="auto"/>
              </w:rPr>
              <w:t>Strategic directions</w:t>
            </w:r>
          </w:p>
        </w:tc>
        <w:tc>
          <w:tcPr>
            <w:tcW w:w="467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0338DF5B" w14:textId="77777777" w:rsidR="00014C1A" w:rsidRPr="001F748C" w:rsidRDefault="000E068B" w:rsidP="000E068B">
            <w:pPr>
              <w:jc w:val="center"/>
              <w:rPr>
                <w:color w:val="auto"/>
              </w:rPr>
            </w:pPr>
            <w:r w:rsidRPr="001F748C">
              <w:rPr>
                <w:b/>
                <w:bCs/>
                <w:color w:val="auto"/>
              </w:rPr>
              <w:t>Strategic goal</w:t>
            </w:r>
          </w:p>
        </w:tc>
      </w:tr>
      <w:tr w:rsidR="00666643" w:rsidRPr="00AB68BA" w14:paraId="120B7385" w14:textId="77777777" w:rsidTr="00F32DAB">
        <w:trPr>
          <w:trHeight w:val="20"/>
        </w:trPr>
        <w:tc>
          <w:tcPr>
            <w:tcW w:w="441"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4055452" w14:textId="77777777" w:rsidR="00014C1A" w:rsidRPr="001F748C" w:rsidRDefault="00003B0B">
            <w:pPr>
              <w:jc w:val="both"/>
              <w:rPr>
                <w:color w:val="auto"/>
              </w:rPr>
            </w:pPr>
            <w:r w:rsidRPr="001F748C">
              <w:rPr>
                <w:color w:val="auto"/>
              </w:rPr>
              <w:t>1</w:t>
            </w:r>
          </w:p>
        </w:tc>
        <w:tc>
          <w:tcPr>
            <w:tcW w:w="4237" w:type="dxa"/>
            <w:vMerge w:val="restart"/>
            <w:tcBorders>
              <w:top w:val="nil"/>
              <w:left w:val="nil"/>
              <w:bottom w:val="single" w:sz="8" w:space="0" w:color="auto"/>
              <w:right w:val="single" w:sz="8" w:space="0" w:color="auto"/>
            </w:tcBorders>
            <w:tcMar>
              <w:top w:w="0" w:type="dxa"/>
              <w:left w:w="40" w:type="dxa"/>
              <w:bottom w:w="0" w:type="dxa"/>
              <w:right w:w="40" w:type="dxa"/>
            </w:tcMar>
            <w:hideMark/>
          </w:tcPr>
          <w:p w14:paraId="1B80A35C" w14:textId="77777777" w:rsidR="00014C1A" w:rsidRPr="00CD5E54" w:rsidRDefault="00792C1A">
            <w:pPr>
              <w:jc w:val="both"/>
              <w:rPr>
                <w:color w:val="auto"/>
                <w:lang w:val="en-US"/>
              </w:rPr>
            </w:pPr>
            <w:r w:rsidRPr="00CD5E54">
              <w:rPr>
                <w:color w:val="auto"/>
                <w:lang w:val="en-US"/>
              </w:rPr>
              <w:t>Support and development of aspiring and existing micro, small and medium-sized businesses</w:t>
            </w:r>
          </w:p>
        </w:tc>
        <w:tc>
          <w:tcPr>
            <w:tcW w:w="4678" w:type="dxa"/>
            <w:tcBorders>
              <w:top w:val="nil"/>
              <w:left w:val="nil"/>
              <w:bottom w:val="single" w:sz="4" w:space="0" w:color="auto"/>
              <w:right w:val="single" w:sz="8" w:space="0" w:color="auto"/>
            </w:tcBorders>
            <w:tcMar>
              <w:top w:w="0" w:type="dxa"/>
              <w:left w:w="40" w:type="dxa"/>
              <w:bottom w:w="0" w:type="dxa"/>
              <w:right w:w="40" w:type="dxa"/>
            </w:tcMar>
            <w:hideMark/>
          </w:tcPr>
          <w:p w14:paraId="3107C488" w14:textId="77777777" w:rsidR="00014C1A" w:rsidRPr="00CD5E54" w:rsidRDefault="00304E90" w:rsidP="00304E90">
            <w:pPr>
              <w:rPr>
                <w:color w:val="auto"/>
                <w:lang w:val="en-US"/>
              </w:rPr>
            </w:pPr>
            <w:r w:rsidRPr="00CD5E54">
              <w:rPr>
                <w:color w:val="auto"/>
                <w:lang w:val="en-US"/>
              </w:rPr>
              <w:t>Ensuring accessibility of MSMEs to the Fund's financial programs</w:t>
            </w:r>
          </w:p>
        </w:tc>
      </w:tr>
      <w:tr w:rsidR="00666643" w:rsidRPr="00AB68BA" w14:paraId="5E9C6E2A" w14:textId="77777777" w:rsidTr="00645995">
        <w:trPr>
          <w:trHeight w:val="816"/>
        </w:trPr>
        <w:tc>
          <w:tcPr>
            <w:tcW w:w="0" w:type="auto"/>
            <w:vMerge/>
            <w:tcBorders>
              <w:top w:val="nil"/>
              <w:left w:val="single" w:sz="8" w:space="0" w:color="auto"/>
              <w:bottom w:val="single" w:sz="8" w:space="0" w:color="auto"/>
              <w:right w:val="single" w:sz="8" w:space="0" w:color="auto"/>
            </w:tcBorders>
            <w:vAlign w:val="center"/>
            <w:hideMark/>
          </w:tcPr>
          <w:p w14:paraId="5C5B6E30" w14:textId="77777777" w:rsidR="00F32DAB" w:rsidRPr="00CD5E54" w:rsidRDefault="00F32DAB">
            <w:pPr>
              <w:rPr>
                <w:color w:val="auto"/>
                <w:lang w:val="en-US"/>
              </w:rPr>
            </w:pPr>
          </w:p>
        </w:tc>
        <w:tc>
          <w:tcPr>
            <w:tcW w:w="4237" w:type="dxa"/>
            <w:vMerge/>
            <w:tcBorders>
              <w:top w:val="nil"/>
              <w:left w:val="nil"/>
              <w:bottom w:val="single" w:sz="8" w:space="0" w:color="auto"/>
              <w:right w:val="single" w:sz="4" w:space="0" w:color="auto"/>
            </w:tcBorders>
            <w:vAlign w:val="center"/>
            <w:hideMark/>
          </w:tcPr>
          <w:p w14:paraId="3A9EFC1B" w14:textId="77777777" w:rsidR="00F32DAB" w:rsidRPr="00CD5E54" w:rsidRDefault="00F32DAB">
            <w:pPr>
              <w:rPr>
                <w:color w:val="auto"/>
                <w:lang w:val="en-US"/>
              </w:rPr>
            </w:pP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03A7B64" w14:textId="77777777" w:rsidR="00F32DAB" w:rsidRPr="00CD5E54" w:rsidRDefault="00F32DAB" w:rsidP="0092772B">
            <w:pPr>
              <w:rPr>
                <w:color w:val="auto"/>
                <w:lang w:val="en-US"/>
              </w:rPr>
            </w:pPr>
            <w:r w:rsidRPr="00CD5E54">
              <w:rPr>
                <w:color w:val="auto"/>
                <w:lang w:val="en-US"/>
              </w:rPr>
              <w:t>Ensuring increased economic efficiency of supported MSMEs</w:t>
            </w:r>
          </w:p>
        </w:tc>
      </w:tr>
      <w:tr w:rsidR="00666643" w:rsidRPr="00AB68BA" w14:paraId="2B452D94" w14:textId="77777777" w:rsidTr="00645995">
        <w:trPr>
          <w:trHeight w:val="390"/>
        </w:trPr>
        <w:tc>
          <w:tcPr>
            <w:tcW w:w="441"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23B1C00" w14:textId="77777777" w:rsidR="00645995" w:rsidRPr="001F748C" w:rsidRDefault="00645995">
            <w:pPr>
              <w:jc w:val="both"/>
              <w:rPr>
                <w:color w:val="auto"/>
              </w:rPr>
            </w:pPr>
            <w:r w:rsidRPr="001F748C">
              <w:rPr>
                <w:color w:val="auto"/>
              </w:rPr>
              <w:t>2</w:t>
            </w:r>
          </w:p>
          <w:p w14:paraId="20ADEC97" w14:textId="77777777" w:rsidR="00645995" w:rsidRPr="001F748C" w:rsidRDefault="00645995">
            <w:pPr>
              <w:jc w:val="both"/>
              <w:rPr>
                <w:color w:val="auto"/>
              </w:rPr>
            </w:pPr>
          </w:p>
          <w:p w14:paraId="4B5A265C" w14:textId="77777777" w:rsidR="00645995" w:rsidRPr="001F748C" w:rsidRDefault="00645995">
            <w:pPr>
              <w:jc w:val="both"/>
              <w:rPr>
                <w:color w:val="auto"/>
              </w:rPr>
            </w:pPr>
          </w:p>
        </w:tc>
        <w:tc>
          <w:tcPr>
            <w:tcW w:w="4237" w:type="dxa"/>
            <w:vMerge w:val="restart"/>
            <w:tcBorders>
              <w:top w:val="nil"/>
              <w:left w:val="nil"/>
              <w:bottom w:val="single" w:sz="8" w:space="0" w:color="auto"/>
              <w:right w:val="single" w:sz="4" w:space="0" w:color="auto"/>
            </w:tcBorders>
            <w:tcMar>
              <w:top w:w="0" w:type="dxa"/>
              <w:left w:w="40" w:type="dxa"/>
              <w:bottom w:w="0" w:type="dxa"/>
              <w:right w:w="40" w:type="dxa"/>
            </w:tcMar>
            <w:hideMark/>
          </w:tcPr>
          <w:p w14:paraId="5C7E7887" w14:textId="77777777" w:rsidR="00645995" w:rsidRPr="00CD5E54" w:rsidRDefault="00645995">
            <w:pPr>
              <w:jc w:val="both"/>
              <w:rPr>
                <w:color w:val="auto"/>
                <w:lang w:val="en-US"/>
              </w:rPr>
            </w:pPr>
            <w:r w:rsidRPr="00CD5E54">
              <w:rPr>
                <w:color w:val="auto"/>
                <w:lang w:val="en-US"/>
              </w:rPr>
              <w:t>Sustainable institutional development of the Damu Fund</w:t>
            </w:r>
          </w:p>
          <w:p w14:paraId="7AE2BC77" w14:textId="77777777" w:rsidR="00645995" w:rsidRPr="00CD5E54" w:rsidRDefault="00645995">
            <w:pPr>
              <w:jc w:val="both"/>
              <w:rPr>
                <w:color w:val="auto"/>
                <w:lang w:val="en-US"/>
              </w:rPr>
            </w:pP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76510DF" w14:textId="77777777" w:rsidR="00645995" w:rsidRPr="00CD5E54" w:rsidRDefault="00645995" w:rsidP="0092772B">
            <w:pPr>
              <w:rPr>
                <w:color w:val="auto"/>
                <w:lang w:val="en-US"/>
              </w:rPr>
            </w:pPr>
            <w:r w:rsidRPr="00CD5E54">
              <w:rPr>
                <w:color w:val="auto"/>
                <w:lang w:val="en-US"/>
              </w:rPr>
              <w:t>Improving the level of sustainable development</w:t>
            </w:r>
          </w:p>
        </w:tc>
      </w:tr>
      <w:tr w:rsidR="00666643" w:rsidRPr="00AB68BA" w14:paraId="42B3AA71" w14:textId="77777777" w:rsidTr="00645995">
        <w:trPr>
          <w:trHeight w:val="537"/>
        </w:trPr>
        <w:tc>
          <w:tcPr>
            <w:tcW w:w="0" w:type="auto"/>
            <w:vMerge/>
            <w:tcBorders>
              <w:top w:val="nil"/>
              <w:left w:val="single" w:sz="8" w:space="0" w:color="auto"/>
              <w:bottom w:val="single" w:sz="8" w:space="0" w:color="auto"/>
              <w:right w:val="single" w:sz="8" w:space="0" w:color="auto"/>
            </w:tcBorders>
            <w:vAlign w:val="center"/>
            <w:hideMark/>
          </w:tcPr>
          <w:p w14:paraId="17F25631" w14:textId="77777777" w:rsidR="00645995" w:rsidRPr="00CD5E54" w:rsidRDefault="00645995">
            <w:pPr>
              <w:rPr>
                <w:color w:val="auto"/>
                <w:lang w:val="en-US"/>
              </w:rPr>
            </w:pPr>
          </w:p>
        </w:tc>
        <w:tc>
          <w:tcPr>
            <w:tcW w:w="4237" w:type="dxa"/>
            <w:vMerge/>
            <w:tcBorders>
              <w:top w:val="nil"/>
              <w:left w:val="nil"/>
              <w:bottom w:val="single" w:sz="8" w:space="0" w:color="auto"/>
              <w:right w:val="single" w:sz="4" w:space="0" w:color="auto"/>
            </w:tcBorders>
            <w:vAlign w:val="center"/>
            <w:hideMark/>
          </w:tcPr>
          <w:p w14:paraId="46E15DF5" w14:textId="77777777" w:rsidR="00645995" w:rsidRPr="00CD5E54" w:rsidRDefault="00645995">
            <w:pPr>
              <w:rPr>
                <w:color w:val="auto"/>
                <w:lang w:val="en-US"/>
              </w:rPr>
            </w:pP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EDE56C5" w14:textId="77777777" w:rsidR="00645995" w:rsidRPr="00CD5E54" w:rsidRDefault="00645995" w:rsidP="0092772B">
            <w:pPr>
              <w:rPr>
                <w:color w:val="auto"/>
                <w:lang w:val="en-US"/>
              </w:rPr>
            </w:pPr>
            <w:r w:rsidRPr="00CD5E54">
              <w:rPr>
                <w:color w:val="auto"/>
                <w:lang w:val="en-US"/>
              </w:rPr>
              <w:t>Improving the level of corporate governance</w:t>
            </w:r>
          </w:p>
        </w:tc>
      </w:tr>
    </w:tbl>
    <w:p w14:paraId="019E99F4" w14:textId="77777777" w:rsidR="00014C1A" w:rsidRPr="00CD5E54" w:rsidRDefault="00014C1A">
      <w:pPr>
        <w:ind w:firstLine="426"/>
        <w:jc w:val="both"/>
        <w:rPr>
          <w:color w:val="auto"/>
          <w:lang w:val="en-US"/>
        </w:rPr>
      </w:pPr>
    </w:p>
    <w:p w14:paraId="3C84E482" w14:textId="2B58227F" w:rsidR="00014C1A" w:rsidRPr="00CD5E54" w:rsidRDefault="006746CE" w:rsidP="006746CE">
      <w:pPr>
        <w:ind w:firstLine="426"/>
        <w:jc w:val="center"/>
        <w:rPr>
          <w:b/>
          <w:bCs/>
          <w:color w:val="auto"/>
          <w:lang w:val="en-US"/>
        </w:rPr>
      </w:pPr>
      <w:bookmarkStart w:id="15" w:name="SUB30100"/>
      <w:bookmarkEnd w:id="15"/>
      <w:r w:rsidRPr="00CD5E54">
        <w:rPr>
          <w:b/>
          <w:bCs/>
          <w:color w:val="auto"/>
          <w:lang w:val="en-US"/>
        </w:rPr>
        <w:t xml:space="preserve">Section 1. </w:t>
      </w:r>
      <w:r w:rsidR="00B17C47" w:rsidRPr="00B17C47">
        <w:rPr>
          <w:rStyle w:val="a5"/>
          <w:b/>
          <w:bCs/>
          <w:color w:val="auto"/>
          <w:u w:val="none"/>
          <w:lang w:val="en-US"/>
        </w:rPr>
        <w:t>Strategic Direction 1. Support and development of new and existing micro, small and medium-sized enterprises</w:t>
      </w:r>
    </w:p>
    <w:p w14:paraId="513F11EA" w14:textId="77777777" w:rsidR="006746CE" w:rsidRPr="00CD5E54" w:rsidRDefault="006746CE" w:rsidP="006746CE">
      <w:pPr>
        <w:ind w:firstLine="426"/>
        <w:jc w:val="center"/>
        <w:rPr>
          <w:b/>
          <w:bCs/>
          <w:color w:val="auto"/>
          <w:lang w:val="en-US"/>
        </w:rPr>
      </w:pPr>
    </w:p>
    <w:p w14:paraId="7B9F1645" w14:textId="77777777" w:rsidR="008923E6" w:rsidRPr="00CD5E54" w:rsidRDefault="00FA3EE5" w:rsidP="0031388A">
      <w:pPr>
        <w:pStyle w:val="af1"/>
        <w:numPr>
          <w:ilvl w:val="0"/>
          <w:numId w:val="3"/>
        </w:numPr>
        <w:tabs>
          <w:tab w:val="left" w:pos="426"/>
          <w:tab w:val="left" w:pos="567"/>
          <w:tab w:val="left" w:pos="709"/>
          <w:tab w:val="left" w:pos="993"/>
        </w:tabs>
        <w:spacing w:after="0" w:line="240" w:lineRule="auto"/>
        <w:ind w:left="0" w:firstLine="567"/>
        <w:jc w:val="both"/>
        <w:rPr>
          <w:rFonts w:ascii="Times New Roman" w:hAnsi="Times New Roman"/>
          <w:sz w:val="24"/>
          <w:szCs w:val="24"/>
          <w:lang w:val="en-US"/>
        </w:rPr>
      </w:pPr>
      <w:bookmarkStart w:id="16" w:name="SUB3010100"/>
      <w:bookmarkStart w:id="17" w:name="SUB3010200"/>
      <w:bookmarkEnd w:id="16"/>
      <w:bookmarkEnd w:id="17"/>
      <w:r w:rsidRPr="00CD5E54">
        <w:rPr>
          <w:rFonts w:ascii="Times New Roman" w:hAnsi="Times New Roman"/>
          <w:sz w:val="24"/>
          <w:szCs w:val="24"/>
          <w:lang w:val="en-US"/>
        </w:rPr>
        <w:t>The Damu Fund, as a national development institution implementing government support measures for micro, small, and medium-sized businesses in the country, will continue to expand its reach to entrepreneurs by developing new approaches to improve efficiency and plans to introduce new approaches and tools.</w:t>
      </w:r>
    </w:p>
    <w:p w14:paraId="21265439" w14:textId="7D94DD12" w:rsidR="00F72426" w:rsidRPr="00CD5E54" w:rsidRDefault="00FA3EE5" w:rsidP="0031388A">
      <w:pPr>
        <w:pStyle w:val="af1"/>
        <w:numPr>
          <w:ilvl w:val="0"/>
          <w:numId w:val="3"/>
        </w:numPr>
        <w:tabs>
          <w:tab w:val="left" w:pos="426"/>
          <w:tab w:val="left" w:pos="567"/>
          <w:tab w:val="left" w:pos="709"/>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Within the framework of the first strategic direction,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sets itself two strategic goals:</w:t>
      </w:r>
    </w:p>
    <w:p w14:paraId="5679CB9F" w14:textId="77777777" w:rsidR="00F72426" w:rsidRPr="00CD5E54" w:rsidRDefault="00D125C7" w:rsidP="0031388A">
      <w:pPr>
        <w:pStyle w:val="af1"/>
        <w:numPr>
          <w:ilvl w:val="0"/>
          <w:numId w:val="4"/>
        </w:numPr>
        <w:tabs>
          <w:tab w:val="left" w:pos="426"/>
          <w:tab w:val="left" w:pos="567"/>
          <w:tab w:val="left" w:pos="709"/>
          <w:tab w:val="left" w:pos="993"/>
          <w:tab w:val="left" w:pos="1134"/>
        </w:tabs>
        <w:spacing w:after="0" w:line="240" w:lineRule="auto"/>
        <w:ind w:left="0" w:firstLine="567"/>
        <w:jc w:val="both"/>
        <w:rPr>
          <w:rFonts w:ascii="Times New Roman" w:hAnsi="Times New Roman"/>
          <w:sz w:val="24"/>
          <w:szCs w:val="24"/>
          <w:u w:val="single"/>
          <w:lang w:val="en-US"/>
        </w:rPr>
      </w:pPr>
      <w:r w:rsidRPr="00CD5E54">
        <w:rPr>
          <w:rFonts w:ascii="Times New Roman" w:hAnsi="Times New Roman"/>
          <w:bCs/>
          <w:sz w:val="24"/>
          <w:szCs w:val="24"/>
          <w:u w:val="single"/>
          <w:lang w:val="en-US"/>
        </w:rPr>
        <w:t>Ensuring accessibility of MSMEs to the Fund’s financial programs;</w:t>
      </w:r>
    </w:p>
    <w:p w14:paraId="19858674" w14:textId="77777777" w:rsidR="00F72426" w:rsidRPr="00CD5E54" w:rsidRDefault="00F72426" w:rsidP="0031388A">
      <w:pPr>
        <w:pStyle w:val="af1"/>
        <w:numPr>
          <w:ilvl w:val="0"/>
          <w:numId w:val="4"/>
        </w:numPr>
        <w:tabs>
          <w:tab w:val="left" w:pos="426"/>
          <w:tab w:val="left" w:pos="567"/>
          <w:tab w:val="left" w:pos="709"/>
          <w:tab w:val="left" w:pos="993"/>
          <w:tab w:val="left" w:pos="1134"/>
        </w:tabs>
        <w:spacing w:after="0" w:line="240" w:lineRule="auto"/>
        <w:ind w:left="0" w:firstLine="567"/>
        <w:jc w:val="both"/>
        <w:rPr>
          <w:rFonts w:ascii="Times New Roman" w:hAnsi="Times New Roman"/>
          <w:sz w:val="24"/>
          <w:szCs w:val="24"/>
          <w:u w:val="single"/>
          <w:lang w:val="en-US"/>
        </w:rPr>
      </w:pPr>
      <w:r w:rsidRPr="00CD5E54">
        <w:rPr>
          <w:rFonts w:ascii="Times New Roman" w:hAnsi="Times New Roman"/>
          <w:bCs/>
          <w:sz w:val="24"/>
          <w:szCs w:val="24"/>
          <w:u w:val="single"/>
          <w:lang w:val="en-US"/>
        </w:rPr>
        <w:t>Ensuring increased economic efficiency of supported MSMEs.</w:t>
      </w:r>
    </w:p>
    <w:p w14:paraId="3283D500" w14:textId="77777777" w:rsidR="00603216" w:rsidRPr="00CD5E54" w:rsidRDefault="00603216" w:rsidP="008923E6">
      <w:pPr>
        <w:tabs>
          <w:tab w:val="left" w:pos="567"/>
        </w:tabs>
        <w:ind w:firstLine="567"/>
        <w:jc w:val="both"/>
        <w:rPr>
          <w:color w:val="auto"/>
          <w:lang w:val="en-US"/>
        </w:rPr>
      </w:pPr>
    </w:p>
    <w:p w14:paraId="068F3812" w14:textId="77777777" w:rsidR="00AD7A99" w:rsidRPr="00CD5E54" w:rsidRDefault="00AD7A99" w:rsidP="005366E3">
      <w:pPr>
        <w:jc w:val="center"/>
        <w:rPr>
          <w:b/>
          <w:bCs/>
          <w:color w:val="auto"/>
          <w:lang w:val="en-US"/>
        </w:rPr>
      </w:pPr>
      <w:r w:rsidRPr="00CD5E54">
        <w:rPr>
          <w:b/>
          <w:bCs/>
          <w:color w:val="auto"/>
          <w:lang w:val="en-US"/>
        </w:rPr>
        <w:t>Strategic goal: Ensuring accessibility of MSMEs to the Fund’s financial programs</w:t>
      </w:r>
    </w:p>
    <w:p w14:paraId="3F66C090" w14:textId="77777777" w:rsidR="004F34D9" w:rsidRPr="00CD5E54" w:rsidRDefault="004F34D9" w:rsidP="005366E3">
      <w:pPr>
        <w:jc w:val="center"/>
        <w:rPr>
          <w:b/>
          <w:bCs/>
          <w:color w:val="auto"/>
          <w:lang w:val="en-US"/>
        </w:rPr>
      </w:pPr>
    </w:p>
    <w:p w14:paraId="63F62CBA" w14:textId="77777777" w:rsidR="00AD7A99" w:rsidRPr="00CD5E54" w:rsidRDefault="009927D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realize its vision of becoming a national development institution providing comprehensive financial and non-financial support to entrepreneurs in the country, the Fund will continue to develop existing support instruments: preferential lending, interest rate subsidies (with a gradual reduction in the amount of subsidies), and guarantees for entrepreneurs' liabilities. It also plans to develop non-financial government support measures. The Fund will consider macroeconomic benchmarks, including growth in gross value added (GVA) and labor productivity, when planning and evaluating the effectiveness of its programs.</w:t>
      </w:r>
    </w:p>
    <w:p w14:paraId="761EC24B" w14:textId="77777777" w:rsidR="00D35BF2" w:rsidRPr="00CD5E54" w:rsidRDefault="00D35BF2"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80-1. When planning and implementing financial support programs, priority will be given to the targeted development of export-oriented and competitive industries with high added value, which is viewed as a sustainable alternative to one-size-fits-all approaches to import substitution. The development of tools aimed at scaling up medium-sized businesses is also envisaged, including through assistance to entrepreneurs conducting mergers and acquisitions (M&amp;A), subject to alignment with strategic priorities and the presence of proven economic impact.</w:t>
      </w:r>
    </w:p>
    <w:p w14:paraId="1510B893" w14:textId="77777777" w:rsidR="00292409" w:rsidRPr="00CD5E54" w:rsidRDefault="00292409"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80-2. The Fund plans to introduce customized financing conditions for large projects, requiring reciprocal obligations on the part of recipients, including transitioning to a general tax regime, creating </w:t>
      </w:r>
      <w:r w:rsidRPr="00CD5E54">
        <w:rPr>
          <w:rFonts w:ascii="Times New Roman" w:hAnsi="Times New Roman"/>
          <w:sz w:val="24"/>
          <w:szCs w:val="24"/>
          <w:lang w:val="en-US"/>
        </w:rPr>
        <w:lastRenderedPageBreak/>
        <w:t>and preserving jobs, and increasing the volume of taxes paid to the budget. This approach will be applied regardless of the support instrument used and is aimed at improving the economic effectiveness of state support measures by integrating the principles of responsibility and reciprocity into the economy.</w:t>
      </w:r>
    </w:p>
    <w:p w14:paraId="3D85A683" w14:textId="77777777" w:rsidR="005E1C98" w:rsidRPr="00CD5E54" w:rsidRDefault="005E1C98"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bCs/>
          <w:sz w:val="24"/>
          <w:szCs w:val="24"/>
          <w:lang w:val="en-US"/>
        </w:rPr>
        <w:t>80-3.</w:t>
      </w:r>
      <w:r w:rsidRPr="00CD5E54">
        <w:rPr>
          <w:rFonts w:ascii="Times New Roman" w:hAnsi="Times New Roman"/>
          <w:sz w:val="24"/>
          <w:szCs w:val="24"/>
          <w:lang w:val="en-US"/>
        </w:rPr>
        <w:t>In certain justified cases, in order to stimulate export-oriented or currency-generating projects, the Fund may provide the possibility of providing financial support without mandatory requirements for the creation of jobs in the territory of the Republic of Kazakhstan, provided that the implementation of the project contributes to an increase in exports, the localization of income in the national economy, an increase in the added value of products or technologies, and also provides other socio-economic effects measured at the macro level.</w:t>
      </w:r>
    </w:p>
    <w:p w14:paraId="4B51B187" w14:textId="25D83647" w:rsidR="007E3C10" w:rsidRPr="00CD5E54" w:rsidRDefault="007E3C10"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In order to achieve this strategic goal,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plans to address the following key objectives:</w:t>
      </w:r>
    </w:p>
    <w:p w14:paraId="18145BE4" w14:textId="77777777" w:rsidR="00992BFD" w:rsidRPr="00CD5E54" w:rsidRDefault="00992BFD" w:rsidP="00DB480F">
      <w:pPr>
        <w:pStyle w:val="af1"/>
        <w:tabs>
          <w:tab w:val="left" w:pos="567"/>
          <w:tab w:val="left" w:pos="709"/>
          <w:tab w:val="left" w:pos="851"/>
          <w:tab w:val="left" w:pos="993"/>
        </w:tabs>
        <w:spacing w:after="0" w:line="240" w:lineRule="auto"/>
        <w:ind w:left="426" w:firstLine="567"/>
        <w:jc w:val="both"/>
        <w:rPr>
          <w:rFonts w:ascii="Times New Roman" w:hAnsi="Times New Roman"/>
          <w:sz w:val="24"/>
          <w:szCs w:val="24"/>
          <w:lang w:val="en-US"/>
        </w:rPr>
      </w:pPr>
    </w:p>
    <w:p w14:paraId="6015F71E" w14:textId="77777777" w:rsidR="00030BD5" w:rsidRPr="00CD5E54" w:rsidRDefault="00BD2D60" w:rsidP="00DB480F">
      <w:pPr>
        <w:tabs>
          <w:tab w:val="left" w:pos="567"/>
          <w:tab w:val="left" w:pos="993"/>
        </w:tabs>
        <w:ind w:firstLine="567"/>
        <w:jc w:val="both"/>
        <w:rPr>
          <w:b/>
          <w:color w:val="auto"/>
          <w:u w:val="single"/>
          <w:lang w:val="en-US"/>
        </w:rPr>
      </w:pPr>
      <w:r w:rsidRPr="00CD5E54">
        <w:rPr>
          <w:color w:val="auto"/>
          <w:lang w:val="en-US"/>
        </w:rPr>
        <w:t>1. Increasing the share of micro, small and medium-sized businesses that have received financial support in relation to the total number of active micro, small and medium-sized businesses in the market</w:t>
      </w:r>
    </w:p>
    <w:p w14:paraId="45B62A11" w14:textId="77777777" w:rsidR="003D3967" w:rsidRPr="00CD5E54" w:rsidRDefault="003D39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expand the country's business sector coverage, the Fund regularly reviews the terms of state support instruments, including subsidies, guarantees, and preferential loans. Today, it can be confidently stated that state financial support is well-established and operational: the number of economic sectors supported, as well as the number of entrepreneurs supported by the Fund, is growing every year.</w:t>
      </w:r>
    </w:p>
    <w:p w14:paraId="7878A4CA" w14:textId="77777777" w:rsidR="00EE3B09" w:rsidRPr="00CD5E54" w:rsidRDefault="00EE3B09" w:rsidP="00DB480F">
      <w:pPr>
        <w:tabs>
          <w:tab w:val="left" w:pos="567"/>
          <w:tab w:val="left" w:pos="709"/>
          <w:tab w:val="left" w:pos="851"/>
          <w:tab w:val="left" w:pos="993"/>
        </w:tabs>
        <w:ind w:firstLine="567"/>
        <w:jc w:val="both"/>
        <w:rPr>
          <w:color w:val="auto"/>
          <w:lang w:val="en-US"/>
        </w:rPr>
      </w:pPr>
    </w:p>
    <w:p w14:paraId="4756D8B0" w14:textId="77777777" w:rsidR="00C56714" w:rsidRPr="00AD1983" w:rsidRDefault="00C56714" w:rsidP="00DB480F">
      <w:pPr>
        <w:tabs>
          <w:tab w:val="left" w:pos="993"/>
        </w:tabs>
        <w:ind w:firstLine="567"/>
        <w:jc w:val="both"/>
        <w:rPr>
          <w:b/>
          <w:color w:val="auto"/>
        </w:rPr>
      </w:pPr>
      <w:r w:rsidRPr="00AD1983">
        <w:rPr>
          <w:b/>
          <w:color w:val="auto"/>
        </w:rPr>
        <w:t>Attracting additional sources of funding</w:t>
      </w:r>
    </w:p>
    <w:p w14:paraId="69C3A2CA" w14:textId="77777777" w:rsidR="00C56714" w:rsidRPr="00CD5E54" w:rsidRDefault="007D553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the implementation of the objectives outlined in the National Development Plan of the Republic of Kazakhstan until 2029, the Damu Fund is focused on increasing the efficiency of the quasi-public sector by expanding market financing mechanisms and reducing dependence on budgetary sources. In this regard, the Fund continues to develop a new funding model aimed at attracting long-term resources and reducing the state's role in the economy.</w:t>
      </w:r>
    </w:p>
    <w:p w14:paraId="11490AD5" w14:textId="77777777" w:rsidR="00C56714" w:rsidRPr="00CD5E54" w:rsidRDefault="00BF428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this regard, the Fund will continue to work to attract non-governmental sources of borrowing, and will primarily focus on the additional component of providing technical assistance as non-financial support, and will also establish cooperation with new potential investors in the form of international financial institutions, investment funds, and through the issuance of bonds on domestic and foreign capital markets.</w:t>
      </w:r>
    </w:p>
    <w:p w14:paraId="3A3152FD" w14:textId="77777777" w:rsidR="00C56714" w:rsidRPr="00CD5E54" w:rsidRDefault="00BF428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Today, the Fund has considerable experience working with international financial institutions such as the ADB, EBRD, EIB, and others. In 2020, with the support of the United Nations Development Program in Kazakhstan, the Fund issued the first "green bonds" in Kazakhstan as part of the "Reducing the Risks of Investing in Renewable Energy" project. In September 2021, social bonds were placed. Expert RA Rating Agency verified their compliance with ICMA (International Capital Market Association) social principles. The Fund's bonds became the first securities on the Kazakhstan stock market to comply with social principles. Thanks to its accumulated experience and established close partnerships, the Fund continues its systematic efforts to attract non-governmental funding from microfinance organizations. Currently, the Fund is actively collaborating with the ADB to open a credit line of 50-100 billion tenge, with the EBRD to provide guarantees for the Fund's partners who have expressed an interest in receiving EBRD financing, and with other IFIs such as the French Development Agency, the European Investment Bank, the World Bank, the Islamic Development Bank, and the United Nations Development Programme.</w:t>
      </w:r>
    </w:p>
    <w:p w14:paraId="114983F0" w14:textId="6D4461E4" w:rsidR="00C56714" w:rsidRPr="00CD5E54"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addition, new types of instruments, such as "sustainable development bonds"</w:t>
      </w:r>
      <w:r w:rsidR="00283295">
        <w:rPr>
          <w:rFonts w:ascii="Times New Roman" w:hAnsi="Times New Roman"/>
          <w:sz w:val="24"/>
          <w:szCs w:val="24"/>
          <w:lang w:val="en-US"/>
        </w:rPr>
        <w:t>,</w:t>
      </w:r>
      <w:r w:rsidRPr="00CD5E54">
        <w:rPr>
          <w:rFonts w:ascii="Times New Roman" w:hAnsi="Times New Roman"/>
          <w:sz w:val="24"/>
          <w:szCs w:val="24"/>
          <w:lang w:val="en-US"/>
        </w:rPr>
        <w:t xml:space="preserve"> "sustainable development-linked bonds</w:t>
      </w:r>
      <w:r w:rsidR="00283295" w:rsidRPr="00CD5E54">
        <w:rPr>
          <w:rFonts w:ascii="Times New Roman" w:hAnsi="Times New Roman"/>
          <w:sz w:val="24"/>
          <w:szCs w:val="24"/>
          <w:lang w:val="en-US"/>
        </w:rPr>
        <w:t>"</w:t>
      </w:r>
      <w:r w:rsidRPr="00CD5E54">
        <w:rPr>
          <w:rFonts w:ascii="Times New Roman" w:hAnsi="Times New Roman"/>
          <w:sz w:val="24"/>
          <w:szCs w:val="24"/>
          <w:lang w:val="en-US"/>
        </w:rPr>
        <w:t>, and others, are currently gaining momentum in the debt market.</w:t>
      </w:r>
    </w:p>
    <w:p w14:paraId="4C57415D" w14:textId="77777777" w:rsidR="00C56714" w:rsidRPr="00CD5E54"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this regard, in addition to issuing green bonds, the Fund does not exclude the use of various types of sustainable bonds depending on the needs and trends of the global debt market.</w:t>
      </w:r>
    </w:p>
    <w:p w14:paraId="4A7368F2" w14:textId="77777777" w:rsidR="00C56714" w:rsidRPr="00CD5E54"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As part of its commitment to increasing transparency and disclosure in the area of ​​sustainable development in line with ESG principles, Damu Fund will create favorable conditions for attracting long-term resources and will continue to continuously seek the most accessible sources of market </w:t>
      </w:r>
      <w:r w:rsidRPr="00CD5E54">
        <w:rPr>
          <w:rFonts w:ascii="Times New Roman" w:hAnsi="Times New Roman"/>
          <w:sz w:val="24"/>
          <w:szCs w:val="24"/>
          <w:lang w:val="en-US"/>
        </w:rPr>
        <w:lastRenderedPageBreak/>
        <w:t>funding, including efforts to enhance its business reputation by maintaining a high credit rating and increasing its sustainability rating.</w:t>
      </w:r>
    </w:p>
    <w:p w14:paraId="488DF5CA" w14:textId="77777777" w:rsidR="00C56714" w:rsidRPr="00CD5E54" w:rsidRDefault="00C56714" w:rsidP="00DB480F">
      <w:pPr>
        <w:tabs>
          <w:tab w:val="left" w:pos="567"/>
          <w:tab w:val="left" w:pos="709"/>
          <w:tab w:val="left" w:pos="851"/>
          <w:tab w:val="left" w:pos="993"/>
        </w:tabs>
        <w:ind w:firstLine="567"/>
        <w:jc w:val="both"/>
        <w:rPr>
          <w:color w:val="auto"/>
          <w:lang w:val="en-US"/>
        </w:rPr>
      </w:pPr>
    </w:p>
    <w:p w14:paraId="091B131D" w14:textId="77777777" w:rsidR="006B7C20" w:rsidRPr="00CD5E54" w:rsidRDefault="00EE3B09" w:rsidP="00DB480F">
      <w:pPr>
        <w:tabs>
          <w:tab w:val="left" w:pos="567"/>
          <w:tab w:val="left" w:pos="709"/>
          <w:tab w:val="left" w:pos="851"/>
          <w:tab w:val="left" w:pos="993"/>
        </w:tabs>
        <w:ind w:firstLine="567"/>
        <w:jc w:val="both"/>
        <w:rPr>
          <w:b/>
          <w:bCs/>
          <w:color w:val="auto"/>
          <w:lang w:val="en-US"/>
        </w:rPr>
      </w:pPr>
      <w:r w:rsidRPr="00CD5E54">
        <w:rPr>
          <w:b/>
          <w:bCs/>
          <w:color w:val="auto"/>
          <w:lang w:val="en-US"/>
        </w:rPr>
        <w:t>The Guarantee Fund for Support of Private Enterprises is the main operator of the guarantee instrument in the country.</w:t>
      </w:r>
    </w:p>
    <w:p w14:paraId="6EB8F302" w14:textId="77777777" w:rsidR="00FF2655" w:rsidRPr="00CD5E54"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the implementation of the guarantee instrument, the Fund acts as a financial agent for the Ministry of National Economy of the Republic of Kazakhstan, whose functions include:</w:t>
      </w:r>
    </w:p>
    <w:p w14:paraId="484F8BC3" w14:textId="77777777" w:rsidR="00FF2655" w:rsidRPr="00CD5E54" w:rsidRDefault="00FF2655" w:rsidP="00DB480F">
      <w:pPr>
        <w:pStyle w:val="af1"/>
        <w:tabs>
          <w:tab w:val="left" w:pos="567"/>
          <w:tab w:val="left" w:pos="709"/>
          <w:tab w:val="left" w:pos="851"/>
          <w:tab w:val="left" w:pos="993"/>
        </w:tabs>
        <w:spacing w:after="0" w:line="240" w:lineRule="auto"/>
        <w:ind w:left="357" w:firstLine="210"/>
        <w:jc w:val="both"/>
        <w:rPr>
          <w:rFonts w:ascii="Times New Roman" w:hAnsi="Times New Roman"/>
          <w:sz w:val="24"/>
          <w:szCs w:val="24"/>
          <w:lang w:val="en-US"/>
        </w:rPr>
      </w:pPr>
      <w:r w:rsidRPr="00CD5E54">
        <w:rPr>
          <w:rFonts w:ascii="Times New Roman" w:hAnsi="Times New Roman"/>
          <w:sz w:val="24"/>
          <w:szCs w:val="24"/>
          <w:lang w:val="en-US"/>
        </w:rPr>
        <w:t>• participation as a guarantor for loans from partners issued to entrepreneurs,</w:t>
      </w:r>
    </w:p>
    <w:p w14:paraId="2EB1913B" w14:textId="77777777" w:rsidR="00FF2655" w:rsidRPr="00CD5E54" w:rsidRDefault="00FF2655" w:rsidP="00DB480F">
      <w:pPr>
        <w:pStyle w:val="af1"/>
        <w:tabs>
          <w:tab w:val="left" w:pos="567"/>
          <w:tab w:val="left" w:pos="709"/>
          <w:tab w:val="left" w:pos="851"/>
          <w:tab w:val="left" w:pos="993"/>
        </w:tabs>
        <w:spacing w:after="0" w:line="240" w:lineRule="auto"/>
        <w:ind w:left="357" w:firstLine="210"/>
        <w:jc w:val="both"/>
        <w:rPr>
          <w:rFonts w:ascii="Times New Roman" w:hAnsi="Times New Roman"/>
          <w:sz w:val="24"/>
          <w:szCs w:val="24"/>
          <w:lang w:val="en-US"/>
        </w:rPr>
      </w:pPr>
      <w:r w:rsidRPr="00CD5E54">
        <w:rPr>
          <w:rFonts w:ascii="Times New Roman" w:hAnsi="Times New Roman"/>
          <w:sz w:val="24"/>
          <w:szCs w:val="24"/>
          <w:lang w:val="en-US"/>
        </w:rPr>
        <w:t>• monitoring the implementation of program conditions.</w:t>
      </w:r>
    </w:p>
    <w:p w14:paraId="6D1D52A8" w14:textId="756FE066" w:rsidR="00FF2655" w:rsidRPr="00CD5E54"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partial guarantee instrument for the obligations of small and medium-sized enterprises (SMEs) originated within the framework of the implementation of the "</w:t>
      </w:r>
      <w:r w:rsidR="009447A4">
        <w:rPr>
          <w:rFonts w:ascii="Times New Roman" w:hAnsi="Times New Roman"/>
          <w:sz w:val="24"/>
          <w:szCs w:val="24"/>
          <w:lang w:val="en-US"/>
        </w:rPr>
        <w:t>BR</w:t>
      </w:r>
      <w:r w:rsidRPr="00CD5E54">
        <w:rPr>
          <w:rFonts w:ascii="Times New Roman" w:hAnsi="Times New Roman"/>
          <w:sz w:val="24"/>
          <w:szCs w:val="24"/>
          <w:lang w:val="en-US"/>
        </w:rPr>
        <w:t>-2020" program and is currently gaining momentum with great potential for development and the creation of a Guarantee Fund for Support of Small and Medium-Sized Enterprises (SMEs), as the main operator of the guarantee instrument in the country.</w:t>
      </w:r>
    </w:p>
    <w:p w14:paraId="18F8E926" w14:textId="77777777" w:rsidR="00FF2655" w:rsidRPr="00CD5E54"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its ongoing work to digitalize business processes, the Fund has accelerated the review process for guarantee applications, reducing the review period from 10 to 5 business days, which has significantly increased the number of contracts concluded.</w:t>
      </w:r>
    </w:p>
    <w:p w14:paraId="201522DC" w14:textId="77777777" w:rsidR="00FF2655" w:rsidRPr="00CD5E54" w:rsidRDefault="004B7E1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of June 1, 2025, 73,732 loan guarantee agreements worth 2,455.7 billion tenge were signed, with the amount of guarantees amounting to 1,268.1 billion tenge.</w:t>
      </w:r>
    </w:p>
    <w:p w14:paraId="65E71368" w14:textId="77777777" w:rsidR="00AA1C44" w:rsidRPr="00CD5E54" w:rsidRDefault="00A57B7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One of the Fund's key objectives in implementing state economic policy is to reduce the state's role in the country's economy. In this regard, the guarantee instrument will be further developed. The Fund plans to operate as a Guarantee Fund, aiming to facilitate private enterprise access to credit and other financial resources and to develop a system of guarantees for the obligations of private enterprises. Implementing this objective will allow the Fund to expand its support for small and medium-sized businesses and build an effective support system in the form of the Guarantee Fund. By supporting large projects, the Fund will help draw liquidity from creditors and other investors into the real economy.</w:t>
      </w:r>
    </w:p>
    <w:p w14:paraId="6CE0738A" w14:textId="77777777" w:rsidR="00AA1C44" w:rsidRPr="00CD5E54" w:rsidRDefault="00492A39"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Given that the guarantee instrument is one of the most sought-after products for providing private entrepreneurs with access to credit, the Fund will continue to provide financial agent services to the Ministry of National Economy of the Republic of Kazakhstan to guarantee the obligations of entrepreneurs under state support programs. Additionally, as part of its financial agent services to the Ministry of Agriculture of the Republic of Kazakhstan, the Fund will continue to implement the instrument for guaranteeing the obligations of agricultural entities.</w:t>
      </w:r>
    </w:p>
    <w:p w14:paraId="79BD7183" w14:textId="77777777" w:rsidR="00AA1C44" w:rsidRPr="00CD5E54" w:rsidRDefault="003525E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addition, in order to provide support to entrepreneurs, the Fund will continue to implement guarantee programs designed to provide access to financing for business entities that do not have sufficient collateral.</w:t>
      </w:r>
    </w:p>
    <w:p w14:paraId="73B89C82" w14:textId="6F10AEFA" w:rsidR="00656F20" w:rsidRPr="00CD5E54" w:rsidRDefault="00CB115E" w:rsidP="00656F20">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95-1. As part of improving approaches to guarantees, it is planned to implement a risk-based pricing model. This involves the use of an internal model for assessing the probability of default (</w:t>
      </w:r>
      <w:r w:rsidR="00283295" w:rsidRPr="00656F20">
        <w:rPr>
          <w:rFonts w:ascii="Times New Roman" w:hAnsi="Times New Roman"/>
          <w:sz w:val="24"/>
          <w:szCs w:val="24"/>
        </w:rPr>
        <w:t>Probability of Default, PD</w:t>
      </w:r>
      <w:r w:rsidRPr="00CD5E54">
        <w:rPr>
          <w:rFonts w:ascii="Times New Roman" w:hAnsi="Times New Roman"/>
          <w:sz w:val="24"/>
          <w:szCs w:val="24"/>
          <w:lang w:val="en-US"/>
        </w:rPr>
        <w:t>) and possible losses (</w:t>
      </w:r>
      <w:r w:rsidR="00283295" w:rsidRPr="00656F20">
        <w:rPr>
          <w:rFonts w:ascii="Times New Roman" w:hAnsi="Times New Roman"/>
          <w:sz w:val="24"/>
          <w:szCs w:val="24"/>
        </w:rPr>
        <w:t>Loss Given Default, LGD</w:t>
      </w:r>
      <w:r w:rsidRPr="00CD5E54">
        <w:rPr>
          <w:rFonts w:ascii="Times New Roman" w:hAnsi="Times New Roman"/>
          <w:sz w:val="24"/>
          <w:szCs w:val="24"/>
          <w:lang w:val="en-US"/>
        </w:rPr>
        <w:t>); the establishment of differentiated commission rates for providing guarantees depending on the borrower's risk level; and the development of internal analytical tools for calculating fair rates and assessing the sustainability of the guarantee portfolio.</w:t>
      </w:r>
    </w:p>
    <w:p w14:paraId="0C59130D" w14:textId="77777777" w:rsidR="00CB115E" w:rsidRPr="00CD5E54" w:rsidRDefault="00CB115E" w:rsidP="00CB115E">
      <w:pPr>
        <w:pStyle w:val="af1"/>
        <w:tabs>
          <w:tab w:val="left" w:pos="567"/>
          <w:tab w:val="left" w:pos="709"/>
          <w:tab w:val="left" w:pos="851"/>
          <w:tab w:val="left" w:pos="993"/>
        </w:tabs>
        <w:spacing w:after="0" w:line="240" w:lineRule="auto"/>
        <w:ind w:left="567"/>
        <w:jc w:val="both"/>
        <w:rPr>
          <w:lang w:val="en-US"/>
        </w:rPr>
      </w:pPr>
    </w:p>
    <w:p w14:paraId="503C9BE2" w14:textId="77777777" w:rsidR="0060038C" w:rsidRPr="000F6408" w:rsidRDefault="0060038C" w:rsidP="00DB480F">
      <w:pPr>
        <w:pStyle w:val="af1"/>
        <w:tabs>
          <w:tab w:val="left" w:pos="567"/>
          <w:tab w:val="left" w:pos="993"/>
        </w:tabs>
        <w:spacing w:after="0" w:line="240" w:lineRule="auto"/>
        <w:ind w:left="0" w:firstLine="567"/>
        <w:jc w:val="both"/>
        <w:rPr>
          <w:rFonts w:ascii="Times New Roman" w:hAnsi="Times New Roman"/>
          <w:b/>
          <w:bCs/>
          <w:sz w:val="24"/>
          <w:szCs w:val="24"/>
        </w:rPr>
      </w:pPr>
      <w:r w:rsidRPr="000F6408">
        <w:rPr>
          <w:rFonts w:ascii="Times New Roman" w:hAnsi="Times New Roman"/>
          <w:b/>
          <w:bCs/>
          <w:sz w:val="24"/>
          <w:szCs w:val="24"/>
        </w:rPr>
        <w:t>Subsidizing the remuneration rate</w:t>
      </w:r>
    </w:p>
    <w:p w14:paraId="403515DA" w14:textId="77777777" w:rsidR="0060038C" w:rsidRPr="00CD5E54"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Interest rate subsidy is a financial support instrument used by the state to partially reimburse an entrepreneur's expenses for paying interest on a loan/microloan/leasing transaction on a gratuitous and non-repayable basis.</w:t>
      </w:r>
    </w:p>
    <w:p w14:paraId="4F94237C" w14:textId="77777777" w:rsidR="0060038C" w:rsidRPr="00CD5E54"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implementing this instrument, the Fund acts as a financial agent, whose functions include:</w:t>
      </w:r>
    </w:p>
    <w:p w14:paraId="01223D58" w14:textId="77777777" w:rsidR="0060038C" w:rsidRPr="00CD5E54" w:rsidRDefault="0060038C" w:rsidP="00DB480F">
      <w:pPr>
        <w:tabs>
          <w:tab w:val="left" w:pos="567"/>
          <w:tab w:val="left" w:pos="709"/>
          <w:tab w:val="left" w:pos="851"/>
          <w:tab w:val="left" w:pos="993"/>
        </w:tabs>
        <w:ind w:firstLine="567"/>
        <w:jc w:val="both"/>
        <w:rPr>
          <w:color w:val="auto"/>
          <w:lang w:val="en-US"/>
        </w:rPr>
      </w:pPr>
      <w:r w:rsidRPr="00CD5E54">
        <w:rPr>
          <w:color w:val="auto"/>
          <w:lang w:val="en-US"/>
        </w:rPr>
        <w:t>• transfer of funds to partner participants to subsidize part of the remuneration (interest rate) for loans/microloans/leasing transactions of end borrowers;</w:t>
      </w:r>
    </w:p>
    <w:p w14:paraId="1997FEA9" w14:textId="77777777" w:rsidR="0060038C" w:rsidRPr="00CD5E54" w:rsidRDefault="0060038C" w:rsidP="00DB480F">
      <w:pPr>
        <w:tabs>
          <w:tab w:val="left" w:pos="567"/>
          <w:tab w:val="left" w:pos="709"/>
          <w:tab w:val="left" w:pos="851"/>
          <w:tab w:val="left" w:pos="993"/>
        </w:tabs>
        <w:ind w:firstLine="567"/>
        <w:jc w:val="both"/>
        <w:rPr>
          <w:color w:val="auto"/>
          <w:lang w:val="en-US"/>
        </w:rPr>
      </w:pPr>
      <w:r w:rsidRPr="00CD5E54">
        <w:rPr>
          <w:color w:val="auto"/>
          <w:lang w:val="en-US"/>
        </w:rPr>
        <w:t>• monitoring the implementation of program conditions.</w:t>
      </w:r>
    </w:p>
    <w:p w14:paraId="77115AE1" w14:textId="77777777" w:rsidR="0060038C" w:rsidRPr="00CD5E54"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The functions of the financial agent are carried out on the basis of an agreement between the Ministry of National Economy of the Republic of Kazakhstan and the Fund, according to which the Fund’s services are paid.</w:t>
      </w:r>
    </w:p>
    <w:p w14:paraId="6FD86C00" w14:textId="77777777" w:rsidR="0060038C" w:rsidRPr="00CD5E54"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Since its implementation, the subsidy instrument has gained widespread popularity among entrepreneurs and has proven effective in attracting loans and leasing transactions to priority economic sectors, as well as significantly increasing access to financial resources for entrepreneurs in the country.</w:t>
      </w:r>
    </w:p>
    <w:p w14:paraId="5CB420A1" w14:textId="77777777" w:rsidR="0060038C" w:rsidRPr="00CD5E54" w:rsidRDefault="0060038C" w:rsidP="00DB480F">
      <w:pPr>
        <w:pStyle w:val="af1"/>
        <w:tabs>
          <w:tab w:val="left" w:pos="567"/>
          <w:tab w:val="left" w:pos="709"/>
          <w:tab w:val="left" w:pos="851"/>
          <w:tab w:val="left" w:pos="993"/>
        </w:tabs>
        <w:spacing w:after="0" w:line="240" w:lineRule="auto"/>
        <w:ind w:left="426" w:firstLine="567"/>
        <w:jc w:val="both"/>
        <w:rPr>
          <w:rFonts w:ascii="Times New Roman" w:hAnsi="Times New Roman"/>
          <w:sz w:val="24"/>
          <w:szCs w:val="24"/>
          <w:highlight w:val="yellow"/>
          <w:lang w:val="en-US"/>
        </w:rPr>
      </w:pPr>
    </w:p>
    <w:p w14:paraId="0554983C" w14:textId="77777777" w:rsidR="004630A1"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Pr>
          <w:rFonts w:ascii="Times New Roman" w:hAnsi="Times New Roman"/>
          <w:sz w:val="24"/>
          <w:szCs w:val="24"/>
          <w:lang w:val="ru-RU"/>
        </w:rPr>
        <w:t>excluded.</w:t>
      </w:r>
    </w:p>
    <w:p w14:paraId="1960DDD0" w14:textId="77777777" w:rsidR="005F5E00"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Pr>
          <w:rFonts w:ascii="Times New Roman" w:hAnsi="Times New Roman"/>
          <w:sz w:val="24"/>
          <w:szCs w:val="24"/>
          <w:lang w:val="ru-RU"/>
        </w:rPr>
        <w:t>excluded.</w:t>
      </w:r>
    </w:p>
    <w:p w14:paraId="342A27E4" w14:textId="77777777" w:rsidR="005F5E00" w:rsidRPr="00366F9D" w:rsidRDefault="000D5B31"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sidRPr="001F748C">
        <w:rPr>
          <w:rFonts w:ascii="Times New Roman" w:hAnsi="Times New Roman"/>
          <w:sz w:val="24"/>
          <w:szCs w:val="24"/>
          <w:lang w:val="ru-RU"/>
        </w:rPr>
        <w:t>excluded.</w:t>
      </w:r>
    </w:p>
    <w:p w14:paraId="50491990" w14:textId="77777777" w:rsidR="00030BD5" w:rsidRPr="00366F9D" w:rsidRDefault="000315BB" w:rsidP="0031388A">
      <w:pPr>
        <w:pStyle w:val="af1"/>
        <w:numPr>
          <w:ilvl w:val="0"/>
          <w:numId w:val="3"/>
        </w:numPr>
        <w:tabs>
          <w:tab w:val="left" w:pos="567"/>
          <w:tab w:val="left" w:pos="709"/>
          <w:tab w:val="left" w:pos="851"/>
          <w:tab w:val="left" w:pos="993"/>
        </w:tabs>
        <w:spacing w:after="0" w:line="240" w:lineRule="auto"/>
        <w:ind w:left="0" w:firstLine="567"/>
        <w:jc w:val="both"/>
        <w:rPr>
          <w:i/>
        </w:rPr>
      </w:pPr>
      <w:r w:rsidRPr="001F748C">
        <w:rPr>
          <w:rFonts w:ascii="Times New Roman" w:hAnsi="Times New Roman"/>
          <w:sz w:val="24"/>
          <w:szCs w:val="24"/>
          <w:lang w:val="ru-RU"/>
        </w:rPr>
        <w:t>excluded.</w:t>
      </w:r>
    </w:p>
    <w:p w14:paraId="1F668AF2" w14:textId="77777777" w:rsidR="00F76B99" w:rsidRPr="00366F9D" w:rsidRDefault="00F76B99"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sidRPr="001F748C">
        <w:rPr>
          <w:rFonts w:ascii="Times New Roman" w:hAnsi="Times New Roman"/>
          <w:sz w:val="24"/>
          <w:szCs w:val="24"/>
          <w:lang w:val="ru-RU"/>
        </w:rPr>
        <w:t>excluded.</w:t>
      </w:r>
    </w:p>
    <w:p w14:paraId="3BED3364" w14:textId="77777777" w:rsidR="00030BD5"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i/>
        </w:rPr>
      </w:pPr>
      <w:r>
        <w:rPr>
          <w:rFonts w:ascii="Times New Roman" w:hAnsi="Times New Roman"/>
          <w:sz w:val="24"/>
          <w:szCs w:val="24"/>
          <w:lang w:val="ru-RU"/>
        </w:rPr>
        <w:t>excluded.</w:t>
      </w:r>
    </w:p>
    <w:p w14:paraId="15D95620" w14:textId="77777777" w:rsidR="009321A1" w:rsidRPr="001F748C" w:rsidRDefault="003E451F" w:rsidP="0031388A">
      <w:pPr>
        <w:pStyle w:val="af1"/>
        <w:numPr>
          <w:ilvl w:val="0"/>
          <w:numId w:val="3"/>
        </w:numPr>
        <w:tabs>
          <w:tab w:val="left" w:pos="567"/>
          <w:tab w:val="left" w:pos="709"/>
          <w:tab w:val="left" w:pos="851"/>
          <w:tab w:val="left" w:pos="993"/>
        </w:tabs>
        <w:spacing w:after="0" w:line="240" w:lineRule="auto"/>
        <w:ind w:left="0" w:firstLine="567"/>
        <w:jc w:val="both"/>
      </w:pPr>
      <w:r>
        <w:rPr>
          <w:rFonts w:ascii="Times New Roman" w:hAnsi="Times New Roman"/>
          <w:sz w:val="24"/>
          <w:szCs w:val="24"/>
          <w:lang w:val="ru-RU"/>
        </w:rPr>
        <w:t>excluded.</w:t>
      </w:r>
    </w:p>
    <w:p w14:paraId="4DC9D873" w14:textId="77777777" w:rsidR="008A3707" w:rsidRPr="001F748C" w:rsidRDefault="009321A1"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excluded.</w:t>
      </w:r>
    </w:p>
    <w:p w14:paraId="538190EA" w14:textId="77777777" w:rsidR="00F517D0" w:rsidRPr="001F748C" w:rsidRDefault="00F517D0" w:rsidP="00DB480F">
      <w:pPr>
        <w:ind w:firstLine="567"/>
        <w:jc w:val="both"/>
        <w:rPr>
          <w:color w:val="auto"/>
          <w:highlight w:val="yellow"/>
        </w:rPr>
      </w:pPr>
    </w:p>
    <w:p w14:paraId="2CA13262" w14:textId="5F1BD438" w:rsidR="00E26FDF" w:rsidRPr="000F6408" w:rsidRDefault="009321A1" w:rsidP="00DB480F">
      <w:pPr>
        <w:pStyle w:val="af1"/>
        <w:tabs>
          <w:tab w:val="left" w:pos="567"/>
          <w:tab w:val="left" w:pos="1134"/>
        </w:tabs>
        <w:spacing w:after="0" w:line="240" w:lineRule="auto"/>
        <w:ind w:left="0" w:firstLine="567"/>
        <w:jc w:val="both"/>
        <w:rPr>
          <w:rFonts w:ascii="Times New Roman" w:hAnsi="Times New Roman"/>
          <w:b/>
          <w:bCs/>
          <w:sz w:val="24"/>
          <w:szCs w:val="24"/>
        </w:rPr>
      </w:pPr>
      <w:r w:rsidRPr="000F6408">
        <w:rPr>
          <w:rFonts w:ascii="Times New Roman" w:hAnsi="Times New Roman"/>
          <w:b/>
          <w:bCs/>
          <w:sz w:val="24"/>
          <w:szCs w:val="24"/>
        </w:rPr>
        <w:t xml:space="preserve">Financing of MSMEs through </w:t>
      </w:r>
      <w:r w:rsidR="00340B7C">
        <w:rPr>
          <w:rFonts w:ascii="Times New Roman" w:hAnsi="Times New Roman"/>
          <w:b/>
          <w:bCs/>
          <w:sz w:val="24"/>
          <w:szCs w:val="24"/>
          <w:lang w:val="en-US"/>
        </w:rPr>
        <w:t>STBs</w:t>
      </w:r>
      <w:r w:rsidRPr="000F6408">
        <w:rPr>
          <w:rFonts w:ascii="Times New Roman" w:hAnsi="Times New Roman"/>
          <w:b/>
          <w:bCs/>
          <w:sz w:val="24"/>
          <w:szCs w:val="24"/>
        </w:rPr>
        <w:t>,</w:t>
      </w:r>
      <w:r w:rsidR="00340B7C">
        <w:rPr>
          <w:rFonts w:ascii="Times New Roman" w:hAnsi="Times New Roman"/>
          <w:b/>
          <w:bCs/>
          <w:sz w:val="24"/>
          <w:szCs w:val="24"/>
          <w:lang w:val="en-US"/>
        </w:rPr>
        <w:t xml:space="preserve"> </w:t>
      </w:r>
      <w:r w:rsidR="00125D3A" w:rsidRPr="00CD5E54">
        <w:rPr>
          <w:rFonts w:ascii="Times New Roman" w:hAnsi="Times New Roman"/>
          <w:b/>
          <w:sz w:val="24"/>
          <w:szCs w:val="24"/>
          <w:lang w:val="en-US"/>
        </w:rPr>
        <w:t>MFO and LC</w:t>
      </w:r>
    </w:p>
    <w:p w14:paraId="3F16971E" w14:textId="77777777" w:rsidR="006E03BC" w:rsidRPr="00CD5E54"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conditional placement program is one of the instruments for implementing state policy on financial support for MSMEs in Kazakhstan.</w:t>
      </w:r>
    </w:p>
    <w:p w14:paraId="60B0389B" w14:textId="77777777" w:rsidR="006E03BC" w:rsidRPr="00CD5E54"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This instrument is implemented by the Fund providing financial resources (funding) to partners under specific (targeted and restrictive) conditions for subsequent lending to MSMEs. One of the key principles of working with partners is the Fund's policy of non-interference in their internal procedures and lending processes, as well as their full responsibility for the risks of their decisions. MSME financing is provided primarily without restrictions on activities, with the exception of those prohibited by the legislation of the Republic of Kazakhstan.</w:t>
      </w:r>
    </w:p>
    <w:p w14:paraId="637882ED" w14:textId="77777777" w:rsidR="006E03BC" w:rsidRPr="00CD5E54"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Until 2010, most participants in Damu Fund programs received financial support through concessional lending instruments. To increase the availability of the Fund's financing, restrictive conditions were systematically introduced as conditional placement programs were introduced, particularly on the maximum interest rate for end borrowers (SMEs). In 2017-2020, a number of new conditional placement programs were introduced, focused on financing micro and small enterprises, such as the "Enbek" program, financing with the Asian Development Bank's 4th tranche, Damu-Micro, and funding based on Islamic finance principles.</w:t>
      </w:r>
    </w:p>
    <w:p w14:paraId="2143982A" w14:textId="77777777" w:rsidR="006E03BC" w:rsidRPr="00CD5E54"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From 2010 to June 1, 2025, more than 77,000 borrowers were financed through the conditional placement instrument in the amount of over 2,948 billion tenge.</w:t>
      </w:r>
    </w:p>
    <w:p w14:paraId="39314379" w14:textId="77777777" w:rsidR="008952AF" w:rsidRPr="00CD5E54"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Further implementation of programs for conditional placement of funds in financial institutions will contribute to increasing the accessibility of MSMEs to credit resources through additional funding for second-tier banks, microfinance organizations, and credit unions, and the establishment of restrictive conditions on the size of the interest rate, as well as reducing the disproportionate distribution of loans across regions and industries.</w:t>
      </w:r>
    </w:p>
    <w:p w14:paraId="31F645FC" w14:textId="77777777" w:rsidR="00F10B6F" w:rsidRPr="00CD5E54" w:rsidRDefault="00E33449"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sources of funds for the implementation of conditional placement programs will be both the Fund’s own funds and those attracted from local executive bodies and international financial institutions.</w:t>
      </w:r>
    </w:p>
    <w:p w14:paraId="4FE7A3E5" w14:textId="312FEC65" w:rsidR="0006432A" w:rsidRPr="00CD5E54" w:rsidRDefault="0006432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Furthermore, within the framework of the National Fund of the Republic of Kazakhstan, the Fund will continue to make conditional placements in second-tier banks for further lending to SMEs, in accordance with the address of President Tokayev K.K. to the nation dated September 1, 2023, "The Economic Course of a </w:t>
      </w:r>
      <w:r w:rsidR="00777A1A">
        <w:rPr>
          <w:rFonts w:ascii="Times New Roman" w:hAnsi="Times New Roman"/>
          <w:sz w:val="24"/>
          <w:szCs w:val="24"/>
          <w:lang w:val="en-US"/>
        </w:rPr>
        <w:t>Just</w:t>
      </w:r>
      <w:r w:rsidRPr="00CD5E54">
        <w:rPr>
          <w:rFonts w:ascii="Times New Roman" w:hAnsi="Times New Roman"/>
          <w:sz w:val="24"/>
          <w:szCs w:val="24"/>
          <w:lang w:val="en-US"/>
        </w:rPr>
        <w:t xml:space="preserve"> Kazakhstan": "At the same time, part of the Fund's resources can and should be used now to finance strategic projects that will shape the future of Kazakhstan. The National Fund is already financing a number of major projects. However, lack a systematic approach to project selection. Therefore, it is necessary to ensure a comprehensive review of incoming proposals, so that every tenge from the National Fund yields a tangible return"</w:t>
      </w:r>
      <w:r w:rsidR="00777A1A">
        <w:rPr>
          <w:rFonts w:ascii="Times New Roman" w:hAnsi="Times New Roman"/>
          <w:sz w:val="24"/>
          <w:szCs w:val="24"/>
          <w:lang w:val="en-US"/>
        </w:rPr>
        <w:t>.</w:t>
      </w:r>
    </w:p>
    <w:p w14:paraId="04876FBF" w14:textId="77777777" w:rsidR="00FE42C2" w:rsidRPr="00CD5E54" w:rsidRDefault="00FE42C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In order to achieve the planned level of MSME coverage by the Fund's financial programs, including the development of conditional placement instruments, the Fund will continue to expand its range of preferential lending products:</w:t>
      </w:r>
    </w:p>
    <w:p w14:paraId="5AD6A6E9" w14:textId="77777777" w:rsidR="00FE42C2" w:rsidRPr="00CD5E54" w:rsidRDefault="00FE42C2" w:rsidP="002F78E3">
      <w:pPr>
        <w:pStyle w:val="af1"/>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financing of SMEs through second-tier banks/microfinance organizations/credit credit institutions,</w:t>
      </w:r>
    </w:p>
    <w:p w14:paraId="77CE1F25" w14:textId="77777777" w:rsidR="00FE42C2" w:rsidRPr="00CD5E54" w:rsidRDefault="00FE42C2" w:rsidP="002F78E3">
      <w:pPr>
        <w:pStyle w:val="af1"/>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financing of leasing transactions;</w:t>
      </w:r>
    </w:p>
    <w:p w14:paraId="398DBADD" w14:textId="77777777" w:rsidR="00925118" w:rsidRPr="00CD5E54" w:rsidRDefault="00925118" w:rsidP="00925118">
      <w:pPr>
        <w:pStyle w:val="af1"/>
        <w:tabs>
          <w:tab w:val="left" w:pos="567"/>
          <w:tab w:val="left" w:pos="1134"/>
        </w:tabs>
        <w:ind w:left="0" w:firstLine="567"/>
        <w:jc w:val="both"/>
        <w:rPr>
          <w:rFonts w:ascii="Times New Roman" w:hAnsi="Times New Roman"/>
          <w:bCs/>
          <w:sz w:val="24"/>
          <w:szCs w:val="24"/>
          <w:lang w:val="en-US"/>
        </w:rPr>
      </w:pPr>
      <w:r w:rsidRPr="00CD5E54">
        <w:rPr>
          <w:rFonts w:ascii="Times New Roman" w:hAnsi="Times New Roman"/>
          <w:bCs/>
          <w:sz w:val="24"/>
          <w:szCs w:val="24"/>
          <w:lang w:val="en-US"/>
        </w:rPr>
        <w:t>- development of the microfinance sector through programs for placing funds in microfinance organizations;</w:t>
      </w:r>
    </w:p>
    <w:p w14:paraId="0D4683D5" w14:textId="77777777" w:rsidR="00FE42C2" w:rsidRPr="00CD5E54" w:rsidRDefault="00FE42C2" w:rsidP="002F78E3">
      <w:pPr>
        <w:pStyle w:val="af1"/>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development of the Islamic financing program by allocating funds to potential counterparties – participants in the program;</w:t>
      </w:r>
    </w:p>
    <w:p w14:paraId="653C4A29" w14:textId="77777777" w:rsidR="00F40673" w:rsidRPr="00CD5E54" w:rsidRDefault="00FE42C2" w:rsidP="002F78E3">
      <w:pPr>
        <w:pStyle w:val="af1"/>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development and implementation of a preferential lending program for women entrepreneurs;</w:t>
      </w:r>
    </w:p>
    <w:p w14:paraId="54F5E12F" w14:textId="77777777" w:rsidR="00FE42C2" w:rsidRPr="00CD5E54" w:rsidRDefault="00F40673" w:rsidP="002F78E3">
      <w:pPr>
        <w:pStyle w:val="af1"/>
        <w:spacing w:after="0" w:line="240" w:lineRule="auto"/>
        <w:ind w:left="567"/>
        <w:jc w:val="both"/>
        <w:rPr>
          <w:rFonts w:ascii="Times New Roman" w:hAnsi="Times New Roman"/>
          <w:sz w:val="24"/>
          <w:szCs w:val="24"/>
          <w:lang w:val="en-US"/>
        </w:rPr>
      </w:pPr>
      <w:r w:rsidRPr="00CD5E54">
        <w:rPr>
          <w:rFonts w:ascii="Times New Roman" w:hAnsi="Times New Roman"/>
          <w:sz w:val="24"/>
          <w:szCs w:val="24"/>
          <w:lang w:val="en-US"/>
        </w:rPr>
        <w:t>- other financial instruments in accordance with the Investment Policy of the Holding.</w:t>
      </w:r>
    </w:p>
    <w:p w14:paraId="77CC9D31" w14:textId="77777777" w:rsidR="00DA6A59" w:rsidRPr="00CD5E54" w:rsidRDefault="00FE42C2"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use of a fund-mixing instrument will significantly increase funding for the real sector of the economy in 2025 compared to previous years. The Damu Fund will allocate 300 billion tenge, with the fund-mixing mechanism increasing the total to 750 billion tenge. This approach will gradually integrate private participants into government programs and maintain a balance between oversight and the development of a competitive environment.</w:t>
      </w:r>
    </w:p>
    <w:p w14:paraId="7FB747D3" w14:textId="2F1470A4" w:rsidR="00C9385E" w:rsidRPr="00CD5E54" w:rsidRDefault="00FE42C2"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number of SMEs covered by government support measures will also increase significantly. The interest rate per end borrower for all conditional placement programs will not exceed 12</w:t>
      </w:r>
      <w:r w:rsidR="00777A1A">
        <w:rPr>
          <w:rFonts w:ascii="Times New Roman" w:hAnsi="Times New Roman"/>
          <w:sz w:val="24"/>
          <w:szCs w:val="24"/>
          <w:lang w:val="en-US"/>
        </w:rPr>
        <w:t>,</w:t>
      </w:r>
      <w:r w:rsidRPr="00CD5E54">
        <w:rPr>
          <w:rFonts w:ascii="Times New Roman" w:hAnsi="Times New Roman"/>
          <w:sz w:val="24"/>
          <w:szCs w:val="24"/>
          <w:lang w:val="en-US"/>
        </w:rPr>
        <w:t>6% per annum.</w:t>
      </w:r>
    </w:p>
    <w:p w14:paraId="354B6091" w14:textId="096184C0" w:rsidR="00A15BEB" w:rsidRPr="00CD5E54" w:rsidRDefault="00A15BEB"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115-1. To enhance the sustainability of programs in the context of changes in the National Bank of Kazakhstan's base rate, the Fund plans to introduce flexible financing mechanisms, taking into account the possibility of revising program terms in the event of significant changes in the macroeconomic environment. The Fund will implement a loan portfolio securitization mechanism, in accordance with the Law of the Republic of Kazakhstan "On Project Financing and Securitization"</w:t>
      </w:r>
      <w:r w:rsidR="00E5241C">
        <w:rPr>
          <w:rFonts w:ascii="Times New Roman" w:hAnsi="Times New Roman"/>
          <w:sz w:val="24"/>
          <w:szCs w:val="24"/>
          <w:lang w:val="en-US"/>
        </w:rPr>
        <w:t>,</w:t>
      </w:r>
      <w:r w:rsidRPr="00CD5E54">
        <w:rPr>
          <w:rFonts w:ascii="Times New Roman" w:hAnsi="Times New Roman"/>
          <w:sz w:val="24"/>
          <w:szCs w:val="24"/>
          <w:lang w:val="en-US"/>
        </w:rPr>
        <w:t xml:space="preserve"> which will reduce the Fund's credit risks when placing funds for further financing of SMEs.</w:t>
      </w:r>
    </w:p>
    <w:p w14:paraId="27C45858" w14:textId="7D2E7FBB" w:rsidR="002322E1" w:rsidRPr="00CD5E54" w:rsidRDefault="002322E1"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u w:val="single"/>
          <w:lang w:val="en-US"/>
        </w:rPr>
        <w:t>The results of the implementation of the Fund's programs will be measured by the following KPIs:</w:t>
      </w:r>
    </w:p>
    <w:p w14:paraId="327DEE41" w14:textId="6F9468B0" w:rsidR="002322E1" w:rsidRPr="00CD5E54" w:rsidRDefault="002322E1" w:rsidP="00DB480F">
      <w:pPr>
        <w:tabs>
          <w:tab w:val="left" w:pos="567"/>
          <w:tab w:val="left" w:pos="709"/>
          <w:tab w:val="left" w:pos="851"/>
          <w:tab w:val="left" w:pos="1134"/>
        </w:tabs>
        <w:ind w:firstLine="567"/>
        <w:jc w:val="both"/>
        <w:rPr>
          <w:color w:val="auto"/>
          <w:lang w:val="en-US"/>
        </w:rPr>
      </w:pPr>
      <w:r w:rsidRPr="00CD5E54">
        <w:rPr>
          <w:color w:val="auto"/>
          <w:lang w:val="en-US"/>
        </w:rPr>
        <w:t>- The share of MSMEs that received financial support to the total number of operating MSMEs in the market is 6</w:t>
      </w:r>
      <w:r w:rsidR="00E5241C">
        <w:rPr>
          <w:color w:val="auto"/>
          <w:lang w:val="en-US"/>
        </w:rPr>
        <w:t>,</w:t>
      </w:r>
      <w:r w:rsidRPr="00CD5E54">
        <w:rPr>
          <w:color w:val="auto"/>
          <w:lang w:val="en-US"/>
        </w:rPr>
        <w:t>67% by 2033.</w:t>
      </w:r>
    </w:p>
    <w:p w14:paraId="2429F5A1" w14:textId="77777777" w:rsidR="003E451F" w:rsidRPr="003E451F" w:rsidRDefault="003E451F" w:rsidP="003E451F">
      <w:pPr>
        <w:pStyle w:val="af1"/>
        <w:tabs>
          <w:tab w:val="left" w:pos="567"/>
          <w:tab w:val="left" w:pos="1134"/>
        </w:tabs>
        <w:spacing w:after="0" w:line="240" w:lineRule="auto"/>
        <w:ind w:left="0" w:firstLine="567"/>
        <w:jc w:val="both"/>
        <w:rPr>
          <w:rFonts w:ascii="Times New Roman" w:hAnsi="Times New Roman"/>
          <w:b/>
          <w:bCs/>
          <w:sz w:val="24"/>
          <w:szCs w:val="24"/>
        </w:rPr>
      </w:pPr>
    </w:p>
    <w:p w14:paraId="78C0D5EF" w14:textId="77777777" w:rsidR="003E451F" w:rsidRPr="006B7FDF" w:rsidRDefault="003E451F" w:rsidP="003E451F">
      <w:pPr>
        <w:pStyle w:val="af1"/>
        <w:tabs>
          <w:tab w:val="left" w:pos="567"/>
          <w:tab w:val="left" w:pos="1134"/>
        </w:tabs>
        <w:spacing w:after="0" w:line="240" w:lineRule="auto"/>
        <w:ind w:left="0" w:firstLine="567"/>
        <w:jc w:val="both"/>
        <w:rPr>
          <w:rFonts w:ascii="Times New Roman" w:hAnsi="Times New Roman"/>
          <w:b/>
          <w:bCs/>
          <w:sz w:val="24"/>
          <w:szCs w:val="24"/>
        </w:rPr>
      </w:pPr>
      <w:r w:rsidRPr="006B7FDF">
        <w:rPr>
          <w:rFonts w:ascii="Times New Roman" w:hAnsi="Times New Roman"/>
          <w:b/>
          <w:bCs/>
          <w:sz w:val="24"/>
          <w:szCs w:val="24"/>
        </w:rPr>
        <w:t>Developing entrepreneurial potential through non-financial support instruments</w:t>
      </w:r>
    </w:p>
    <w:p w14:paraId="18DC37B9" w14:textId="2B94EF6A" w:rsidR="003E451F" w:rsidRPr="003E451F" w:rsidRDefault="003E451F" w:rsidP="003E451F">
      <w:pPr>
        <w:pStyle w:val="af1"/>
        <w:tabs>
          <w:tab w:val="left" w:pos="567"/>
          <w:tab w:val="left" w:pos="1134"/>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 xml:space="preserve">116-1. </w:t>
      </w:r>
      <w:r w:rsidR="00E2268C" w:rsidRPr="00E2268C">
        <w:rPr>
          <w:rFonts w:ascii="Times New Roman" w:hAnsi="Times New Roman"/>
          <w:bCs/>
          <w:sz w:val="24"/>
          <w:szCs w:val="24"/>
        </w:rPr>
        <w:t>In addition to expanding financial support tools for small and micro-enterprises, the Fund has begun a systematic implementation of a set of non-financial support measures</w:t>
      </w:r>
      <w:r w:rsidRPr="003E451F">
        <w:rPr>
          <w:rFonts w:ascii="Times New Roman" w:hAnsi="Times New Roman"/>
          <w:sz w:val="24"/>
          <w:szCs w:val="24"/>
        </w:rPr>
        <w:t>.</w:t>
      </w:r>
    </w:p>
    <w:p w14:paraId="53527E76" w14:textId="77777777"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sz w:val="24"/>
          <w:szCs w:val="24"/>
        </w:rPr>
        <w:t>Current and planned initiatives are aimed at increasing entrepreneurial activity, facilitating business scaling, expanding into new markets, and helping small businesses transition to medium-sized businesses. Particular attention will be paid to the acceleration program, which will provide entrepreneurs with comprehensive expert and methodological support.</w:t>
      </w:r>
    </w:p>
    <w:p w14:paraId="1ECA4EEF" w14:textId="77777777"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New non-financial support instruments include:</w:t>
      </w:r>
    </w:p>
    <w:p w14:paraId="5242E709" w14:textId="77777777" w:rsidR="003E451F" w:rsidRPr="003E451F" w:rsidRDefault="00EC65C1"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sz w:val="24"/>
          <w:szCs w:val="24"/>
        </w:rPr>
      </w:pPr>
      <w:r w:rsidRPr="00EC65C1">
        <w:rPr>
          <w:rFonts w:ascii="Times New Roman" w:hAnsi="Times New Roman"/>
          <w:sz w:val="24"/>
          <w:szCs w:val="24"/>
        </w:rPr>
        <w:t>Support for small and medium-sized businesses (SMEs) in their inclusion in the Register of Domestic Producers of Goods, Works, and Services, and assistance in promoting products on electronic trading platforms (marketplaces) through training in the rules of placement, visualization, pricing, logistics, and promotion;</w:t>
      </w:r>
    </w:p>
    <w:p w14:paraId="6BA637A8" w14:textId="77777777" w:rsidR="003E451F" w:rsidRPr="00E3142C" w:rsidRDefault="003E451F"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bCs/>
          <w:sz w:val="24"/>
          <w:szCs w:val="24"/>
        </w:rPr>
      </w:pPr>
      <w:r w:rsidRPr="00E3142C">
        <w:rPr>
          <w:rFonts w:ascii="Times New Roman" w:hAnsi="Times New Roman"/>
          <w:bCs/>
          <w:sz w:val="24"/>
          <w:szCs w:val="24"/>
        </w:rPr>
        <w:t>Training programs</w:t>
      </w:r>
      <w:r w:rsidRPr="00E3142C">
        <w:rPr>
          <w:rFonts w:ascii="Times New Roman" w:hAnsi="Times New Roman"/>
          <w:sz w:val="24"/>
          <w:szCs w:val="24"/>
        </w:rPr>
        <w:t>in offline, online, and hybrid formats, including at leading higher education institutions in Kazakhstan, with a focus on providing practical knowledge and tools to improve the competitiveness of MSMEs, including expanding programs aimed at developing accounting, marketing, management, and production competencies;</w:t>
      </w:r>
    </w:p>
    <w:p w14:paraId="62B21DBE" w14:textId="77777777" w:rsidR="003E451F" w:rsidRPr="003E451F" w:rsidRDefault="003E451F"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Acceleration program</w:t>
      </w:r>
      <w:r w:rsidRPr="003E451F">
        <w:rPr>
          <w:rFonts w:ascii="Times New Roman" w:hAnsi="Times New Roman"/>
          <w:sz w:val="24"/>
          <w:szCs w:val="24"/>
        </w:rPr>
        <w:t>, aimed at stimulating the transition of small businesses into the medium-sized category by providing comprehensive consulting services on entrepreneurial issues, organizing mentoring and coaching support, and developing business connections (networking).</w:t>
      </w:r>
    </w:p>
    <w:p w14:paraId="662BE9A6" w14:textId="0E4C5981" w:rsidR="003E451F" w:rsidRPr="003E451F" w:rsidRDefault="003E451F" w:rsidP="0031388A">
      <w:pPr>
        <w:pStyle w:val="af1"/>
        <w:numPr>
          <w:ilvl w:val="0"/>
          <w:numId w:val="15"/>
        </w:numPr>
        <w:tabs>
          <w:tab w:val="clear" w:pos="720"/>
          <w:tab w:val="left" w:pos="284"/>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Distance learning.</w:t>
      </w:r>
      <w:r w:rsidRPr="003E451F">
        <w:rPr>
          <w:rFonts w:ascii="Times New Roman" w:hAnsi="Times New Roman"/>
          <w:sz w:val="24"/>
          <w:szCs w:val="24"/>
        </w:rPr>
        <w:t xml:space="preserve">The </w:t>
      </w:r>
      <w:r w:rsidR="00A157BD">
        <w:rPr>
          <w:rFonts w:ascii="Times New Roman" w:hAnsi="Times New Roman"/>
          <w:sz w:val="24"/>
          <w:szCs w:val="24"/>
        </w:rPr>
        <w:t>Fund</w:t>
      </w:r>
      <w:r w:rsidRPr="003E451F">
        <w:rPr>
          <w:rFonts w:ascii="Times New Roman" w:hAnsi="Times New Roman"/>
          <w:sz w:val="24"/>
          <w:szCs w:val="24"/>
        </w:rPr>
        <w:t xml:space="preserve"> has been implementing the "Modern Entrepreneur" online course since 2017 on its existing video platform. The program includes modules on digital skills, including </w:t>
      </w:r>
      <w:r w:rsidRPr="003E451F">
        <w:rPr>
          <w:rFonts w:ascii="Times New Roman" w:hAnsi="Times New Roman"/>
          <w:sz w:val="24"/>
          <w:szCs w:val="24"/>
        </w:rPr>
        <w:lastRenderedPageBreak/>
        <w:t>ChatGPT, Power BI, risk management, HR, marketing, and sales. Online sessions with experts are held to reinforce knowledge. Active participants can qualify for the "Executive MBA: Intensive" program.</w:t>
      </w:r>
    </w:p>
    <w:p w14:paraId="3DAF6729" w14:textId="77777777"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sz w:val="24"/>
          <w:szCs w:val="24"/>
        </w:rPr>
        <w:t>The organization of the above-mentioned non-financial support instruments is a logical continuation of a set of measures aimed at improving the business climate in the country.</w:t>
      </w:r>
    </w:p>
    <w:p w14:paraId="0D157247" w14:textId="77777777" w:rsidR="003E451F" w:rsidRPr="00CD5E54" w:rsidRDefault="003E451F" w:rsidP="003E451F">
      <w:pPr>
        <w:tabs>
          <w:tab w:val="left" w:pos="284"/>
        </w:tabs>
        <w:ind w:firstLine="567"/>
        <w:jc w:val="both"/>
        <w:rPr>
          <w:lang w:val="en-US"/>
        </w:rPr>
      </w:pPr>
      <w:r w:rsidRPr="00CD5E54">
        <w:rPr>
          <w:lang w:val="en-US"/>
        </w:rPr>
        <w:t>The implementation of non-financial support instruments is planned for a pilot period starting in the second half of 2025, with subsequent scaling of both the instruments themselves and through broader coverage of MSMEs.</w:t>
      </w:r>
    </w:p>
    <w:p w14:paraId="0ACDD43B" w14:textId="77777777" w:rsidR="003E451F" w:rsidRPr="00CD5E54" w:rsidRDefault="003E451F" w:rsidP="003E451F">
      <w:pPr>
        <w:tabs>
          <w:tab w:val="left" w:pos="284"/>
        </w:tabs>
        <w:ind w:firstLine="567"/>
        <w:jc w:val="both"/>
        <w:rPr>
          <w:lang w:val="en-US"/>
        </w:rPr>
      </w:pPr>
      <w:r w:rsidRPr="00CD5E54">
        <w:rPr>
          <w:bCs/>
          <w:lang w:val="en-US"/>
        </w:rPr>
        <w:t>Evaluation of the effectiveness of non-financial instruments (KPI):</w:t>
      </w:r>
      <w:r w:rsidRPr="00CD5E54">
        <w:rPr>
          <w:lang w:val="en-US"/>
        </w:rPr>
        <w:br/>
        <w:t>By 2025, the Fund plans to reach at least 1,000 MSMEs with non-financial instruments. An annual increase of 10% is envisaged between 2026 and 2033.</w:t>
      </w:r>
    </w:p>
    <w:p w14:paraId="15538506" w14:textId="77777777" w:rsidR="00D34B9F" w:rsidRPr="00CD5E54" w:rsidRDefault="000E30DE" w:rsidP="003E451F">
      <w:pPr>
        <w:tabs>
          <w:tab w:val="left" w:pos="284"/>
        </w:tabs>
        <w:ind w:firstLine="567"/>
        <w:jc w:val="both"/>
        <w:rPr>
          <w:lang w:val="en-US"/>
        </w:rPr>
      </w:pPr>
      <w:r w:rsidRPr="00CD5E54">
        <w:rPr>
          <w:lang w:val="en-US"/>
        </w:rPr>
        <w:t>As part of its systematic monitoring of the effectiveness of non-financial support instruments, the Fund plans to analyze the impact of these measures, including supporting MSMEs on electronic marketplaces. This analysis will be based on data voluntarily provided by MSMEs and will enable management decisions aimed at improving the effectiveness and scalability of non-financial support.</w:t>
      </w:r>
    </w:p>
    <w:p w14:paraId="4022E363" w14:textId="0F9007D1" w:rsidR="00135877" w:rsidRPr="00CD5E54" w:rsidRDefault="00135877" w:rsidP="00135877">
      <w:pPr>
        <w:tabs>
          <w:tab w:val="left" w:pos="284"/>
        </w:tabs>
        <w:ind w:firstLine="567"/>
        <w:jc w:val="both"/>
        <w:rPr>
          <w:bCs/>
          <w:lang w:val="en-US"/>
        </w:rPr>
      </w:pPr>
      <w:r w:rsidRPr="00CD5E54">
        <w:rPr>
          <w:bCs/>
          <w:lang w:val="en-US"/>
        </w:rPr>
        <w:t>To comprehensively implement non-financial support instruments, the Fund plans to consistently build and develop systemic interactions with key stakeholders in the national entrepreneurship ecosystem. In particular, special attention will be paid to strengthening partnerships with international organizations and development institutions, second-tier banks/legal commissions, local executive bodies, and the National Chamber of Entrepreneurs of the Republic of Kazakhstan "Atameken"</w:t>
      </w:r>
      <w:r w:rsidR="00E263A6">
        <w:rPr>
          <w:bCs/>
          <w:lang w:val="en-US"/>
        </w:rPr>
        <w:t>.</w:t>
      </w:r>
    </w:p>
    <w:p w14:paraId="157A2D40" w14:textId="77777777" w:rsidR="00135877" w:rsidRPr="00CD5E54" w:rsidRDefault="00135877" w:rsidP="00135877">
      <w:pPr>
        <w:tabs>
          <w:tab w:val="left" w:pos="284"/>
        </w:tabs>
        <w:ind w:firstLine="567"/>
        <w:jc w:val="both"/>
        <w:rPr>
          <w:bCs/>
          <w:lang w:val="en-US"/>
        </w:rPr>
      </w:pPr>
      <w:r w:rsidRPr="00CD5E54">
        <w:rPr>
          <w:bCs/>
          <w:lang w:val="en-US"/>
        </w:rPr>
        <w:t>This partnership will establish sustainable channels of interaction to conduct outreach to aspiring and existing entrepreneurs regarding the use of non-financial support instruments.</w:t>
      </w:r>
    </w:p>
    <w:p w14:paraId="0B26B364" w14:textId="77777777" w:rsidR="00135877" w:rsidRPr="00CD5E54" w:rsidRDefault="00135877" w:rsidP="00135877">
      <w:pPr>
        <w:tabs>
          <w:tab w:val="left" w:pos="284"/>
        </w:tabs>
        <w:ind w:firstLine="567"/>
        <w:jc w:val="both"/>
        <w:rPr>
          <w:bCs/>
          <w:lang w:val="en-US"/>
        </w:rPr>
      </w:pPr>
      <w:r w:rsidRPr="00CD5E54">
        <w:rPr>
          <w:bCs/>
          <w:lang w:val="en-US"/>
        </w:rPr>
        <w:t>Collaboration with international organizations will focus on sharing experiences and implementing best global practices, which will significantly expand the reach and improve the effectiveness of measures implemented, taking into account regional specificities and industry priorities.</w:t>
      </w:r>
    </w:p>
    <w:p w14:paraId="66BCAD36" w14:textId="77777777" w:rsidR="00135877" w:rsidRPr="00CD5E54" w:rsidRDefault="00135877" w:rsidP="00135877">
      <w:pPr>
        <w:tabs>
          <w:tab w:val="left" w:pos="284"/>
        </w:tabs>
        <w:ind w:firstLine="567"/>
        <w:jc w:val="both"/>
        <w:rPr>
          <w:bCs/>
          <w:lang w:val="en-US"/>
        </w:rPr>
      </w:pPr>
      <w:r w:rsidRPr="00CD5E54">
        <w:rPr>
          <w:bCs/>
          <w:lang w:val="en-US"/>
        </w:rPr>
        <w:t>A separate focus will be training programs for entrepreneurs, including distance learning, which will include video tutorials covering various aspects of artificial intelligence and its application in modern business.</w:t>
      </w:r>
    </w:p>
    <w:p w14:paraId="6F4DDF0F" w14:textId="77777777" w:rsidR="00135877" w:rsidRPr="00CD5E54" w:rsidRDefault="00135877" w:rsidP="00135877">
      <w:pPr>
        <w:tabs>
          <w:tab w:val="left" w:pos="284"/>
        </w:tabs>
        <w:ind w:firstLine="567"/>
        <w:jc w:val="both"/>
        <w:rPr>
          <w:lang w:val="en-US"/>
        </w:rPr>
      </w:pPr>
      <w:r w:rsidRPr="00CD5E54">
        <w:rPr>
          <w:bCs/>
          <w:lang w:val="en-US"/>
        </w:rPr>
        <w:t>The implementation of this initiative is in line with the objectives outlined by the Head of State following a meeting on the development of artificial intelligence.</w:t>
      </w:r>
    </w:p>
    <w:p w14:paraId="1973389D" w14:textId="77777777" w:rsidR="003E451F" w:rsidRPr="00CD5E54" w:rsidRDefault="003E451F" w:rsidP="002E0F5A">
      <w:pPr>
        <w:tabs>
          <w:tab w:val="left" w:pos="284"/>
        </w:tabs>
        <w:ind w:firstLine="567"/>
        <w:jc w:val="both"/>
        <w:rPr>
          <w:lang w:val="en-US"/>
        </w:rPr>
      </w:pPr>
    </w:p>
    <w:p w14:paraId="744FA3BE" w14:textId="77777777" w:rsidR="00C9385E" w:rsidRPr="00CD5E54" w:rsidRDefault="00C9385E" w:rsidP="00C9385E">
      <w:pPr>
        <w:tabs>
          <w:tab w:val="left" w:pos="567"/>
        </w:tabs>
        <w:ind w:firstLine="567"/>
        <w:jc w:val="both"/>
        <w:rPr>
          <w:b/>
          <w:color w:val="auto"/>
          <w:lang w:val="en-US"/>
        </w:rPr>
      </w:pPr>
      <w:r w:rsidRPr="00CD5E54">
        <w:rPr>
          <w:b/>
          <w:color w:val="auto"/>
          <w:u w:val="single"/>
          <w:lang w:val="en-US"/>
        </w:rPr>
        <w:t>2. Increasing the share of medium-sized entrepreneurs from the total number of supported entrepreneurs</w:t>
      </w:r>
    </w:p>
    <w:p w14:paraId="2E499F85" w14:textId="77777777" w:rsidR="00637150" w:rsidRPr="00CD5E54" w:rsidRDefault="00637150" w:rsidP="00C9385E">
      <w:pPr>
        <w:tabs>
          <w:tab w:val="left" w:pos="567"/>
        </w:tabs>
        <w:ind w:firstLine="567"/>
        <w:jc w:val="both"/>
        <w:rPr>
          <w:i/>
          <w:color w:val="auto"/>
          <w:lang w:val="en-US"/>
        </w:rPr>
      </w:pPr>
    </w:p>
    <w:p w14:paraId="59796F95" w14:textId="77CB3BE5" w:rsidR="00186AF7" w:rsidRPr="00CD5E54" w:rsidRDefault="003E451F" w:rsidP="002F424E">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accordance with the instruction of the Head of State at the opening of the first session of the Parliament of the Republic of Kazakhstan of the VIII convocation on March 29, 2023, "Develop new comprehensive approaches to the development of medium-sized businesses by improving tax legislation, the Entrepreneurship Code, the state support system, and other measures"</w:t>
      </w:r>
      <w:r w:rsidR="00E263A6">
        <w:rPr>
          <w:rFonts w:ascii="Times New Roman" w:hAnsi="Times New Roman"/>
          <w:sz w:val="24"/>
          <w:szCs w:val="24"/>
          <w:lang w:val="en-US"/>
        </w:rPr>
        <w:t>,</w:t>
      </w:r>
      <w:r w:rsidRPr="00CD5E54">
        <w:rPr>
          <w:rFonts w:ascii="Times New Roman" w:hAnsi="Times New Roman"/>
          <w:sz w:val="24"/>
          <w:szCs w:val="24"/>
          <w:lang w:val="en-US"/>
        </w:rPr>
        <w:t xml:space="preserve"> as well as in accordance with the Head of State's address to the nation of September 1, 2023, "The Economic Course of a Fair Kazakhstan": "The measures taken in recent years have ensured the stable growth of small and large businesses. However, the pace of development of medium-sized businesses is insufficient. A successful transition to a new economic model will require a virtually manual approach"</w:t>
      </w:r>
      <w:r w:rsidR="00E263A6">
        <w:rPr>
          <w:rFonts w:ascii="Times New Roman" w:hAnsi="Times New Roman"/>
          <w:sz w:val="24"/>
          <w:szCs w:val="24"/>
          <w:lang w:val="en-US"/>
        </w:rPr>
        <w:t>.</w:t>
      </w:r>
    </w:p>
    <w:p w14:paraId="22BA7ECC" w14:textId="77777777" w:rsidR="003C7972" w:rsidRPr="001F748C" w:rsidRDefault="003E451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As the analysis presented in the Concept for the Development of Small and Medium-Sized Entrepreneurship in the Republic of Kazakhstan until 2030 shows, small businesses are unable to create new, high-quality jobs. In terms of their contribution to GDP and average output, the economic impact of medium-sized enterprises significantly exceeds that of small businesses. The number of active small businesses and employment in small businesses are showing accelerated growth rates.</w:t>
      </w:r>
    </w:p>
    <w:p w14:paraId="679F1F84" w14:textId="77777777" w:rsidR="00763AAA" w:rsidRPr="00CD5E54"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this regard, there is a need to provide priority support to entrepreneurs who have the potential for growth and are striving to grow further.</w:t>
      </w:r>
    </w:p>
    <w:p w14:paraId="5E88E8C3" w14:textId="77777777" w:rsidR="00233C19" w:rsidRPr="00CD5E54"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Within the framework of existing and future entrepreneurship support programs, one of the key objectives is to stimulate the transition of small businesses to medium-sized ones, achieved through expanded state support through the "economic lift" system. It is planned to require supported small </w:t>
      </w:r>
      <w:r w:rsidRPr="00CD5E54">
        <w:rPr>
          <w:rFonts w:ascii="Times New Roman" w:hAnsi="Times New Roman"/>
          <w:sz w:val="24"/>
          <w:szCs w:val="24"/>
          <w:lang w:val="en-US"/>
        </w:rPr>
        <w:lastRenderedPageBreak/>
        <w:t>business projects to confirm their transition from small to medium-sized within three years of receiving state support. Thus, the proposed state support measures will encourage businesses to expand, creating a competitive environment, reducing social burdens, increasing jobs, facilitating income growth, and fostering the emergence of new types of entrepreneurs.</w:t>
      </w:r>
    </w:p>
    <w:p w14:paraId="45566A90" w14:textId="14A66FF9" w:rsidR="002D561D" w:rsidRPr="00CD5E54"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The implementation of the above measures of state support for medium-sized businesses will contribute to the achievement of the target indicator </w:t>
      </w:r>
      <w:r w:rsidR="0004137A" w:rsidRPr="00CD5E54">
        <w:rPr>
          <w:rFonts w:ascii="Times New Roman" w:hAnsi="Times New Roman"/>
          <w:sz w:val="24"/>
          <w:szCs w:val="24"/>
          <w:lang w:val="en-US"/>
        </w:rPr>
        <w:t>"</w:t>
      </w:r>
      <w:r w:rsidRPr="00CD5E54">
        <w:rPr>
          <w:rFonts w:ascii="Times New Roman" w:hAnsi="Times New Roman"/>
          <w:sz w:val="24"/>
          <w:szCs w:val="24"/>
          <w:lang w:val="en-US"/>
        </w:rPr>
        <w:t>Share of medium-sized companies in GDP = 20% by 2030</w:t>
      </w:r>
      <w:r w:rsidR="0004137A" w:rsidRPr="00CD5E54">
        <w:rPr>
          <w:rFonts w:ascii="Times New Roman" w:hAnsi="Times New Roman"/>
          <w:sz w:val="24"/>
          <w:szCs w:val="24"/>
          <w:lang w:val="en-US"/>
        </w:rPr>
        <w:t>"</w:t>
      </w:r>
      <w:r w:rsidRPr="00CD5E54">
        <w:rPr>
          <w:rFonts w:ascii="Times New Roman" w:hAnsi="Times New Roman"/>
          <w:sz w:val="24"/>
          <w:szCs w:val="24"/>
          <w:lang w:val="en-US"/>
        </w:rPr>
        <w:t>, established by direction 2 of the Action Plan for the implementation of the Concept for the Development of Small and Medium-Sized Entrepreneurship in the Republic of Kazakhstan until 2030.</w:t>
      </w:r>
    </w:p>
    <w:p w14:paraId="1F42FB78" w14:textId="77777777" w:rsidR="00014C1A" w:rsidRPr="00CD5E54" w:rsidRDefault="001445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results of this work of the Fund will be measured by the following efficiency factors:</w:t>
      </w:r>
    </w:p>
    <w:p w14:paraId="67B5E64F" w14:textId="77777777" w:rsidR="00014C1A" w:rsidRPr="00CD5E54" w:rsidRDefault="00003B0B" w:rsidP="00DB480F">
      <w:pPr>
        <w:tabs>
          <w:tab w:val="left" w:pos="993"/>
        </w:tabs>
        <w:ind w:firstLine="567"/>
        <w:jc w:val="both"/>
        <w:rPr>
          <w:color w:val="auto"/>
          <w:lang w:val="en-US"/>
        </w:rPr>
      </w:pPr>
      <w:r w:rsidRPr="00CD5E54">
        <w:rPr>
          <w:color w:val="auto"/>
          <w:lang w:val="en-US"/>
        </w:rPr>
        <w:t>- The share of medium-sized entrepreneurs from the total number of supported entrepreneurs is 4% by 2033.</w:t>
      </w:r>
    </w:p>
    <w:p w14:paraId="48515BFC" w14:textId="77777777" w:rsidR="004C4629" w:rsidRPr="00CD5E54" w:rsidRDefault="004C4629">
      <w:pPr>
        <w:ind w:firstLine="426"/>
        <w:jc w:val="both"/>
        <w:rPr>
          <w:color w:val="auto"/>
          <w:lang w:val="en-US"/>
        </w:rPr>
      </w:pPr>
    </w:p>
    <w:p w14:paraId="7442B2FA" w14:textId="77777777" w:rsidR="00663484" w:rsidRPr="00CD5E54" w:rsidRDefault="00663484" w:rsidP="00894C1B">
      <w:pPr>
        <w:jc w:val="center"/>
        <w:rPr>
          <w:b/>
          <w:bCs/>
          <w:color w:val="auto"/>
          <w:lang w:val="en-US"/>
        </w:rPr>
      </w:pPr>
      <w:bookmarkStart w:id="18" w:name="SUB3010300"/>
      <w:bookmarkEnd w:id="18"/>
    </w:p>
    <w:p w14:paraId="3DD91842" w14:textId="77777777" w:rsidR="00014C1A" w:rsidRPr="00CD5E54" w:rsidRDefault="00894C1B" w:rsidP="00894C1B">
      <w:pPr>
        <w:jc w:val="center"/>
        <w:rPr>
          <w:b/>
          <w:bCs/>
          <w:color w:val="auto"/>
          <w:lang w:val="en-US"/>
        </w:rPr>
      </w:pPr>
      <w:r w:rsidRPr="00CD5E54">
        <w:rPr>
          <w:b/>
          <w:bCs/>
          <w:color w:val="auto"/>
          <w:lang w:val="en-US"/>
        </w:rPr>
        <w:t>Strategic goal - Ensuring increased economic efficiency of supported MSMEs</w:t>
      </w:r>
    </w:p>
    <w:p w14:paraId="4C8463FB" w14:textId="77777777" w:rsidR="00894C1B" w:rsidRPr="00CD5E54" w:rsidRDefault="00894C1B" w:rsidP="00894C1B">
      <w:pPr>
        <w:jc w:val="center"/>
        <w:rPr>
          <w:b/>
          <w:bCs/>
          <w:color w:val="auto"/>
          <w:lang w:val="en-US"/>
        </w:rPr>
      </w:pPr>
    </w:p>
    <w:p w14:paraId="0DFC8361" w14:textId="77777777" w:rsidR="00014C1A" w:rsidRPr="00CD5E54" w:rsidRDefault="00D83EE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acting as the main operator of state financial support measures for micro, small and medium-sized businesses, pays attention to the implementation of requirements to improve the efficiency of participants in programs implemented by the Damu Fund.</w:t>
      </w:r>
    </w:p>
    <w:p w14:paraId="2B48E8FF" w14:textId="77777777" w:rsidR="00CF5035" w:rsidRPr="00CD5E54" w:rsidRDefault="00D83EE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improve the effectiveness of state financial support measures and ensure the effectiveness of projects supported by MSMEs supported by the Damu Fund, reciprocal obligations have been introduced – requirements for the socio-economic impact of the programs being implemented: the preservation and creation of new jobs, as well as an increase in the volume of taxes paid to the budget.</w:t>
      </w:r>
    </w:p>
    <w:p w14:paraId="271F406D" w14:textId="77777777" w:rsidR="00E4789C" w:rsidRPr="00CD5E54"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monitor the effectiveness of program participants, the Damu Fund signed a Memorandum of Cooperation with the State Revenue Committee of the Ministry of Finance of the Republic of Kazakhstan in 2014. Under this memorandum, based on tax secrecy agreements from SMEs receiving support, the Fund regularly receives data on tax payments, total annual income, employee pension and social contributions, and the number of jobs.</w:t>
      </w:r>
    </w:p>
    <w:p w14:paraId="74F75B81" w14:textId="77777777" w:rsidR="00014C1A" w:rsidRPr="00CD5E54" w:rsidRDefault="00FA772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State support provides significant assistance in the expansion and development of Kazakhstani businesses. In this regard, MSMEs must demonstrate dynamic growth to develop the country's economy and improve social security for citizens.</w:t>
      </w:r>
    </w:p>
    <w:p w14:paraId="507E4FC2" w14:textId="77777777" w:rsidR="00393B8D" w:rsidRPr="00CD5E54" w:rsidRDefault="000F1C73" w:rsidP="00DB480F">
      <w:pPr>
        <w:tabs>
          <w:tab w:val="left" w:pos="567"/>
          <w:tab w:val="left" w:pos="709"/>
          <w:tab w:val="left" w:pos="851"/>
          <w:tab w:val="left" w:pos="993"/>
        </w:tabs>
        <w:ind w:firstLine="567"/>
        <w:jc w:val="both"/>
        <w:rPr>
          <w:i/>
          <w:color w:val="auto"/>
          <w:lang w:val="en-US"/>
        </w:rPr>
      </w:pPr>
      <w:r w:rsidRPr="00CD5E54">
        <w:rPr>
          <w:i/>
          <w:color w:val="auto"/>
          <w:lang w:val="en-US"/>
        </w:rPr>
        <w:tab/>
      </w:r>
    </w:p>
    <w:p w14:paraId="18C6B4E6" w14:textId="77777777" w:rsidR="000F1C73" w:rsidRPr="00CD5E54" w:rsidRDefault="000F1C73" w:rsidP="00DB480F">
      <w:pPr>
        <w:tabs>
          <w:tab w:val="left" w:pos="567"/>
          <w:tab w:val="left" w:pos="709"/>
          <w:tab w:val="left" w:pos="851"/>
          <w:tab w:val="left" w:pos="993"/>
        </w:tabs>
        <w:ind w:firstLine="567"/>
        <w:jc w:val="both"/>
        <w:rPr>
          <w:i/>
          <w:color w:val="auto"/>
          <w:lang w:val="en-US"/>
        </w:rPr>
      </w:pPr>
      <w:r w:rsidRPr="00CD5E54">
        <w:rPr>
          <w:i/>
          <w:color w:val="auto"/>
          <w:lang w:val="en-US"/>
        </w:rPr>
        <w:t>Monitoring the targeted use of funds within the framework of the implementation of state programs</w:t>
      </w:r>
    </w:p>
    <w:p w14:paraId="1A1692DB" w14:textId="77777777" w:rsidR="000F1C73" w:rsidRPr="00CD5E54" w:rsidRDefault="00E54AE5"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 being the main operator of state and its own programs to support MSMEs, also carries out the following in order to effectively use budgetary funds:</w:t>
      </w:r>
    </w:p>
    <w:p w14:paraId="6F0C90FB" w14:textId="77777777" w:rsidR="000F1C73" w:rsidRPr="00CD5E54" w:rsidRDefault="000F1C73" w:rsidP="00DB480F">
      <w:pPr>
        <w:tabs>
          <w:tab w:val="left" w:pos="993"/>
        </w:tabs>
        <w:ind w:left="567"/>
        <w:jc w:val="both"/>
        <w:rPr>
          <w:color w:val="auto"/>
          <w:lang w:val="en-US"/>
        </w:rPr>
      </w:pPr>
      <w:r w:rsidRPr="00CD5E54">
        <w:rPr>
          <w:color w:val="auto"/>
          <w:lang w:val="en-US"/>
        </w:rPr>
        <w:t>-</w:t>
      </w:r>
      <w:r w:rsidRPr="00CD5E54">
        <w:rPr>
          <w:color w:val="auto"/>
          <w:lang w:val="en-US"/>
        </w:rPr>
        <w:tab/>
        <w:t>monitoring the targeted use of the loan by the entrepreneur within the framework of state programs;</w:t>
      </w:r>
    </w:p>
    <w:p w14:paraId="5022DA94" w14:textId="77777777" w:rsidR="000F1C73" w:rsidRPr="00CD5E54" w:rsidRDefault="000F1C73" w:rsidP="00DB480F">
      <w:pPr>
        <w:tabs>
          <w:tab w:val="left" w:pos="993"/>
        </w:tabs>
        <w:ind w:left="567"/>
        <w:jc w:val="both"/>
        <w:rPr>
          <w:color w:val="auto"/>
          <w:lang w:val="en-US"/>
        </w:rPr>
      </w:pPr>
      <w:r w:rsidRPr="00CD5E54">
        <w:rPr>
          <w:color w:val="auto"/>
          <w:lang w:val="en-US"/>
        </w:rPr>
        <w:t xml:space="preserve">-  </w:t>
      </w:r>
      <w:r w:rsidRPr="00CD5E54">
        <w:rPr>
          <w:color w:val="auto"/>
          <w:lang w:val="en-US"/>
        </w:rPr>
        <w:tab/>
        <w:t>monitoring the payment discipline of the entrepreneur;</w:t>
      </w:r>
    </w:p>
    <w:p w14:paraId="64284118" w14:textId="77777777" w:rsidR="000F1C73" w:rsidRPr="00CD5E54" w:rsidRDefault="000F1C73" w:rsidP="00DB480F">
      <w:pPr>
        <w:tabs>
          <w:tab w:val="left" w:pos="993"/>
        </w:tabs>
        <w:ind w:left="567"/>
        <w:jc w:val="both"/>
        <w:rPr>
          <w:color w:val="auto"/>
          <w:lang w:val="en-US"/>
        </w:rPr>
      </w:pPr>
      <w:r w:rsidRPr="00CD5E54">
        <w:rPr>
          <w:color w:val="auto"/>
          <w:lang w:val="en-US"/>
        </w:rPr>
        <w:t>-</w:t>
      </w:r>
      <w:r w:rsidRPr="00CD5E54">
        <w:rPr>
          <w:color w:val="auto"/>
          <w:lang w:val="en-US"/>
        </w:rPr>
        <w:tab/>
        <w:t>monitoring the implementation of an entrepreneur’s project;</w:t>
      </w:r>
    </w:p>
    <w:p w14:paraId="7756340B" w14:textId="77777777" w:rsidR="000F1C73" w:rsidRPr="00CD5E54" w:rsidRDefault="000F1C73" w:rsidP="00DB480F">
      <w:pPr>
        <w:tabs>
          <w:tab w:val="left" w:pos="993"/>
        </w:tabs>
        <w:ind w:left="567"/>
        <w:jc w:val="both"/>
        <w:rPr>
          <w:color w:val="auto"/>
          <w:lang w:val="en-US"/>
        </w:rPr>
      </w:pPr>
      <w:r w:rsidRPr="00CD5E54">
        <w:rPr>
          <w:color w:val="auto"/>
          <w:lang w:val="en-US"/>
        </w:rPr>
        <w:t>-</w:t>
      </w:r>
      <w:r w:rsidRPr="00CD5E54">
        <w:rPr>
          <w:color w:val="auto"/>
          <w:lang w:val="en-US"/>
        </w:rPr>
        <w:tab/>
        <w:t>monitoring the compliance of the entrepreneur's project with the terms of the programs under which support was provided.</w:t>
      </w:r>
    </w:p>
    <w:p w14:paraId="411793A4" w14:textId="77777777" w:rsidR="000F1C73" w:rsidRDefault="000F1C73" w:rsidP="000F1C73">
      <w:pPr>
        <w:tabs>
          <w:tab w:val="left" w:pos="567"/>
          <w:tab w:val="left" w:pos="709"/>
          <w:tab w:val="left" w:pos="851"/>
        </w:tabs>
        <w:ind w:left="357"/>
        <w:jc w:val="both"/>
        <w:rPr>
          <w:color w:val="auto"/>
          <w:lang w:val="en-US"/>
        </w:rPr>
      </w:pPr>
    </w:p>
    <w:p w14:paraId="160A8658" w14:textId="77777777" w:rsidR="000F791F" w:rsidRDefault="000F791F" w:rsidP="000F1C73">
      <w:pPr>
        <w:tabs>
          <w:tab w:val="left" w:pos="567"/>
          <w:tab w:val="left" w:pos="709"/>
          <w:tab w:val="left" w:pos="851"/>
        </w:tabs>
        <w:ind w:left="357"/>
        <w:jc w:val="both"/>
        <w:rPr>
          <w:color w:val="auto"/>
          <w:lang w:val="en-US"/>
        </w:rPr>
      </w:pPr>
    </w:p>
    <w:p w14:paraId="5754A080" w14:textId="77777777" w:rsidR="000F791F" w:rsidRDefault="000F791F" w:rsidP="000F1C73">
      <w:pPr>
        <w:tabs>
          <w:tab w:val="left" w:pos="567"/>
          <w:tab w:val="left" w:pos="709"/>
          <w:tab w:val="left" w:pos="851"/>
        </w:tabs>
        <w:ind w:left="357"/>
        <w:jc w:val="both"/>
        <w:rPr>
          <w:color w:val="auto"/>
          <w:lang w:val="en-US"/>
        </w:rPr>
      </w:pPr>
    </w:p>
    <w:p w14:paraId="24390F5D" w14:textId="77777777" w:rsidR="000F791F" w:rsidRDefault="000F791F" w:rsidP="000F1C73">
      <w:pPr>
        <w:tabs>
          <w:tab w:val="left" w:pos="567"/>
          <w:tab w:val="left" w:pos="709"/>
          <w:tab w:val="left" w:pos="851"/>
        </w:tabs>
        <w:ind w:left="357"/>
        <w:jc w:val="both"/>
        <w:rPr>
          <w:color w:val="auto"/>
          <w:lang w:val="en-US"/>
        </w:rPr>
      </w:pPr>
    </w:p>
    <w:p w14:paraId="2C653C87" w14:textId="77777777" w:rsidR="000F791F" w:rsidRDefault="000F791F" w:rsidP="000F1C73">
      <w:pPr>
        <w:tabs>
          <w:tab w:val="left" w:pos="567"/>
          <w:tab w:val="left" w:pos="709"/>
          <w:tab w:val="left" w:pos="851"/>
        </w:tabs>
        <w:ind w:left="357"/>
        <w:jc w:val="both"/>
        <w:rPr>
          <w:color w:val="auto"/>
          <w:lang w:val="en-US"/>
        </w:rPr>
      </w:pPr>
    </w:p>
    <w:p w14:paraId="390D7124" w14:textId="77777777" w:rsidR="000F791F" w:rsidRDefault="000F791F" w:rsidP="000F1C73">
      <w:pPr>
        <w:tabs>
          <w:tab w:val="left" w:pos="567"/>
          <w:tab w:val="left" w:pos="709"/>
          <w:tab w:val="left" w:pos="851"/>
        </w:tabs>
        <w:ind w:left="357"/>
        <w:jc w:val="both"/>
        <w:rPr>
          <w:color w:val="auto"/>
          <w:lang w:val="en-US"/>
        </w:rPr>
      </w:pPr>
    </w:p>
    <w:p w14:paraId="2B4A5BB4" w14:textId="77777777" w:rsidR="000F791F" w:rsidRDefault="000F791F" w:rsidP="000F1C73">
      <w:pPr>
        <w:tabs>
          <w:tab w:val="left" w:pos="567"/>
          <w:tab w:val="left" w:pos="709"/>
          <w:tab w:val="left" w:pos="851"/>
        </w:tabs>
        <w:ind w:left="357"/>
        <w:jc w:val="both"/>
        <w:rPr>
          <w:color w:val="auto"/>
          <w:lang w:val="en-US"/>
        </w:rPr>
      </w:pPr>
    </w:p>
    <w:p w14:paraId="2581B05F" w14:textId="77777777" w:rsidR="000F791F" w:rsidRDefault="000F791F" w:rsidP="000F1C73">
      <w:pPr>
        <w:tabs>
          <w:tab w:val="left" w:pos="567"/>
          <w:tab w:val="left" w:pos="709"/>
          <w:tab w:val="left" w:pos="851"/>
        </w:tabs>
        <w:ind w:left="357"/>
        <w:jc w:val="both"/>
        <w:rPr>
          <w:color w:val="auto"/>
          <w:lang w:val="en-US"/>
        </w:rPr>
      </w:pPr>
    </w:p>
    <w:p w14:paraId="789717C8" w14:textId="77777777" w:rsidR="000F791F" w:rsidRDefault="000F791F" w:rsidP="000F1C73">
      <w:pPr>
        <w:tabs>
          <w:tab w:val="left" w:pos="567"/>
          <w:tab w:val="left" w:pos="709"/>
          <w:tab w:val="left" w:pos="851"/>
        </w:tabs>
        <w:ind w:left="357"/>
        <w:jc w:val="both"/>
        <w:rPr>
          <w:color w:val="auto"/>
          <w:lang w:val="en-US"/>
        </w:rPr>
      </w:pPr>
    </w:p>
    <w:p w14:paraId="3CD74072" w14:textId="77777777" w:rsidR="000F791F" w:rsidRPr="00CD5E54" w:rsidRDefault="000F791F" w:rsidP="000F1C73">
      <w:pPr>
        <w:tabs>
          <w:tab w:val="left" w:pos="567"/>
          <w:tab w:val="left" w:pos="709"/>
          <w:tab w:val="left" w:pos="851"/>
        </w:tabs>
        <w:ind w:left="357"/>
        <w:jc w:val="both"/>
        <w:rPr>
          <w:color w:val="auto"/>
          <w:lang w:val="en-US"/>
        </w:rPr>
      </w:pPr>
    </w:p>
    <w:p w14:paraId="4087C7FB" w14:textId="77777777" w:rsidR="00F85E9C" w:rsidRPr="00CD5E54" w:rsidRDefault="00F85E9C" w:rsidP="00F85E9C">
      <w:pPr>
        <w:tabs>
          <w:tab w:val="left" w:pos="567"/>
          <w:tab w:val="left" w:pos="709"/>
          <w:tab w:val="left" w:pos="851"/>
        </w:tabs>
        <w:ind w:left="357"/>
        <w:jc w:val="center"/>
        <w:rPr>
          <w:b/>
          <w:color w:val="auto"/>
          <w:lang w:val="en-US"/>
        </w:rPr>
      </w:pPr>
      <w:r w:rsidRPr="00CD5E54">
        <w:rPr>
          <w:b/>
          <w:color w:val="auto"/>
          <w:lang w:val="en-US"/>
        </w:rPr>
        <w:lastRenderedPageBreak/>
        <w:t>Results of monitoring within the framework of the implementation of state programs</w:t>
      </w:r>
    </w:p>
    <w:p w14:paraId="340FB403" w14:textId="77777777" w:rsidR="00F85E9C" w:rsidRPr="001F748C" w:rsidRDefault="00F85E9C" w:rsidP="000F1C73">
      <w:pPr>
        <w:tabs>
          <w:tab w:val="left" w:pos="567"/>
          <w:tab w:val="left" w:pos="709"/>
          <w:tab w:val="left" w:pos="851"/>
        </w:tabs>
        <w:ind w:left="357"/>
        <w:jc w:val="both"/>
        <w:rPr>
          <w:color w:val="auto"/>
        </w:rPr>
      </w:pPr>
      <w:r>
        <w:rPr>
          <w:noProof/>
        </w:rPr>
        <w:drawing>
          <wp:inline distT="0" distB="0" distL="0" distR="0" wp14:anchorId="318F9AC3" wp14:editId="6D30EEA6">
            <wp:extent cx="5934075" cy="1838325"/>
            <wp:effectExtent l="0" t="0" r="9525" b="9525"/>
            <wp:docPr id="1877053063" name="Диаграмма 1">
              <a:extLst xmlns:a="http://schemas.openxmlformats.org/drawingml/2006/main">
                <a:ext uri="{FF2B5EF4-FFF2-40B4-BE49-F238E27FC236}">
                  <a16:creationId xmlns:a16="http://schemas.microsoft.com/office/drawing/2014/main" id="{28040C0D-A9D9-C407-A7C4-463DC94BE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979AA09" w14:textId="77777777" w:rsidR="000F1C73" w:rsidRDefault="000F1C73" w:rsidP="000F1C73">
      <w:pPr>
        <w:tabs>
          <w:tab w:val="left" w:pos="567"/>
          <w:tab w:val="left" w:pos="709"/>
          <w:tab w:val="left" w:pos="851"/>
        </w:tabs>
        <w:ind w:left="357"/>
        <w:jc w:val="both"/>
        <w:rPr>
          <w:color w:val="auto"/>
        </w:rPr>
      </w:pPr>
    </w:p>
    <w:p w14:paraId="2B7CF808" w14:textId="47F8ACCD" w:rsidR="00EF24DE" w:rsidRPr="00CD5E54" w:rsidRDefault="00C82F0A" w:rsidP="00EF24DE">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Pr="00C82F0A">
        <w:rPr>
          <w:rFonts w:ascii="Times New Roman" w:hAnsi="Times New Roman"/>
          <w:sz w:val="24"/>
          <w:szCs w:val="24"/>
          <w:lang w:val="en-US"/>
        </w:rPr>
        <w:t>In order to optimize the monitoring of the use of budget funds, the Fund has developed a multifunctional software package that allows you to inspect objects/asset/project implementation site/targeted use of funds using a mobile application with photo and video recording according to a given algorithm.</w:t>
      </w:r>
    </w:p>
    <w:p w14:paraId="74441FCC" w14:textId="77777777" w:rsidR="0091558D" w:rsidRPr="00CD5E54" w:rsidRDefault="00EF24DE" w:rsidP="0091558D">
      <w:pPr>
        <w:pStyle w:val="af6"/>
        <w:ind w:firstLine="567"/>
        <w:jc w:val="both"/>
        <w:rPr>
          <w:lang w:val="en-US"/>
        </w:rPr>
      </w:pPr>
      <w:r w:rsidRPr="00CD5E54">
        <w:rPr>
          <w:lang w:val="en-US"/>
        </w:rPr>
        <w:t>128-1. In order to improve the efficiency of problem debt collection and optimize internal processes for handling overdue debt, the Fund plans to implement the following measures:</w:t>
      </w:r>
    </w:p>
    <w:p w14:paraId="7484CD97" w14:textId="5C609197" w:rsidR="0091558D" w:rsidRPr="00CD5E54" w:rsidRDefault="00D94657" w:rsidP="0091558D">
      <w:pPr>
        <w:pStyle w:val="af6"/>
        <w:numPr>
          <w:ilvl w:val="0"/>
          <w:numId w:val="17"/>
        </w:numPr>
        <w:tabs>
          <w:tab w:val="clear" w:pos="720"/>
          <w:tab w:val="num" w:pos="851"/>
        </w:tabs>
        <w:ind w:left="851" w:hanging="284"/>
        <w:jc w:val="both"/>
        <w:rPr>
          <w:lang w:val="en-US"/>
        </w:rPr>
      </w:pPr>
      <w:r w:rsidRPr="00D94657">
        <w:rPr>
          <w:bCs/>
          <w:lang w:val="en-US"/>
        </w:rPr>
        <w:t>integration with the information system "Torelik" (Judicial Cabinet) for automatic receipt of judicial acts, summons and notifications into the Fund's system, which will allow timely response and avoid procedural violations</w:t>
      </w:r>
      <w:r w:rsidR="0091558D" w:rsidRPr="00CD5E54">
        <w:rPr>
          <w:lang w:val="en-US"/>
        </w:rPr>
        <w:t>;</w:t>
      </w:r>
    </w:p>
    <w:p w14:paraId="25D01D0F" w14:textId="77777777" w:rsidR="0091558D" w:rsidRPr="00CD5E54" w:rsidRDefault="0091558D" w:rsidP="0091558D">
      <w:pPr>
        <w:pStyle w:val="af6"/>
        <w:numPr>
          <w:ilvl w:val="0"/>
          <w:numId w:val="17"/>
        </w:numPr>
        <w:tabs>
          <w:tab w:val="clear" w:pos="720"/>
          <w:tab w:val="num" w:pos="851"/>
        </w:tabs>
        <w:ind w:left="851" w:hanging="284"/>
        <w:jc w:val="both"/>
        <w:rPr>
          <w:lang w:val="en-US"/>
        </w:rPr>
      </w:pPr>
      <w:r w:rsidRPr="00CD5E54">
        <w:rPr>
          <w:bCs/>
          <w:lang w:val="en-US"/>
        </w:rPr>
        <w:t>digitalization of debt settlement processes</w:t>
      </w:r>
      <w:r w:rsidRPr="00CD5E54">
        <w:rPr>
          <w:lang w:val="en-US"/>
        </w:rPr>
        <w:t>, including through the introduction of electronic signing of settlement agreements, which will significantly reduce the time and labor costs of signing a large number of agreements with debtors.</w:t>
      </w:r>
    </w:p>
    <w:p w14:paraId="3BF77E06" w14:textId="77777777" w:rsidR="00014C1A" w:rsidRPr="00CD5E54" w:rsidRDefault="00FA772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results of the Fund’s socio-economic impact will be measured by the following efficiency factors:</w:t>
      </w:r>
    </w:p>
    <w:p w14:paraId="20AA8127" w14:textId="77777777" w:rsidR="00014C1A" w:rsidRPr="00CD5E54" w:rsidRDefault="00996CE9" w:rsidP="00DB480F">
      <w:pPr>
        <w:tabs>
          <w:tab w:val="left" w:pos="993"/>
        </w:tabs>
        <w:ind w:firstLine="567"/>
        <w:jc w:val="both"/>
        <w:rPr>
          <w:color w:val="auto"/>
          <w:lang w:val="en-US"/>
        </w:rPr>
      </w:pPr>
      <w:r w:rsidRPr="00CD5E54">
        <w:rPr>
          <w:color w:val="auto"/>
          <w:lang w:val="en-US"/>
        </w:rPr>
        <w:t>- Revenue volume of enterprises receiving Fund support (in 2033, accrued since 2024). Within this framework, it is planned to increase the total revenue of enterprises in 2033, accrued since 2024, to 202,017 billion tenge.</w:t>
      </w:r>
    </w:p>
    <w:p w14:paraId="482967E5" w14:textId="77777777" w:rsidR="00014C1A" w:rsidRPr="00CD5E54" w:rsidRDefault="00003B0B" w:rsidP="00DB480F">
      <w:pPr>
        <w:tabs>
          <w:tab w:val="left" w:pos="993"/>
        </w:tabs>
        <w:ind w:firstLine="567"/>
        <w:jc w:val="both"/>
        <w:rPr>
          <w:color w:val="auto"/>
          <w:lang w:val="en-US"/>
        </w:rPr>
      </w:pPr>
      <w:r w:rsidRPr="00CD5E54">
        <w:rPr>
          <w:color w:val="auto"/>
          <w:lang w:val="en-US"/>
        </w:rPr>
        <w:t>- Increase the increase in taxes paid by businesses supported by the Fund to 200 billion tenge by 2033.</w:t>
      </w:r>
    </w:p>
    <w:p w14:paraId="778394E7" w14:textId="77777777" w:rsidR="002110A2" w:rsidRPr="00CD5E54" w:rsidRDefault="00B1405B" w:rsidP="00DB480F">
      <w:pPr>
        <w:tabs>
          <w:tab w:val="left" w:pos="993"/>
        </w:tabs>
        <w:ind w:firstLine="567"/>
        <w:jc w:val="both"/>
        <w:rPr>
          <w:color w:val="auto"/>
          <w:lang w:val="en-US"/>
        </w:rPr>
      </w:pPr>
      <w:r w:rsidRPr="00CD5E54">
        <w:rPr>
          <w:color w:val="auto"/>
          <w:lang w:val="en-US"/>
        </w:rPr>
        <w:t>- Jobs created by business entities that received support from the Damu Fund (per year) 15,800 units by 2033.</w:t>
      </w:r>
    </w:p>
    <w:p w14:paraId="0DF46485" w14:textId="77777777" w:rsidR="004C4629" w:rsidRPr="00CD5E54" w:rsidRDefault="004C4629">
      <w:pPr>
        <w:ind w:firstLine="426"/>
        <w:jc w:val="both"/>
        <w:rPr>
          <w:color w:val="auto"/>
          <w:lang w:val="en-US"/>
        </w:rPr>
      </w:pPr>
    </w:p>
    <w:p w14:paraId="73C10CDE" w14:textId="77777777" w:rsidR="00B6514A" w:rsidRPr="00CD5E54" w:rsidRDefault="00B6514A" w:rsidP="00B6514A">
      <w:pPr>
        <w:ind w:firstLine="426"/>
        <w:jc w:val="center"/>
        <w:rPr>
          <w:b/>
          <w:bCs/>
          <w:color w:val="auto"/>
          <w:lang w:val="en-US"/>
        </w:rPr>
      </w:pPr>
      <w:r w:rsidRPr="00CD5E54">
        <w:rPr>
          <w:b/>
          <w:bCs/>
          <w:color w:val="auto"/>
          <w:lang w:val="en-US"/>
        </w:rPr>
        <w:t>Section 2. Strategic Direction 2. Sustainable Institutional Development of the Damu Fund</w:t>
      </w:r>
    </w:p>
    <w:p w14:paraId="50179696" w14:textId="77777777" w:rsidR="002A2E8D" w:rsidRPr="00CD5E54" w:rsidRDefault="002A2E8D" w:rsidP="00B6514A">
      <w:pPr>
        <w:ind w:firstLine="426"/>
        <w:jc w:val="center"/>
        <w:rPr>
          <w:b/>
          <w:bCs/>
          <w:color w:val="auto"/>
          <w:lang w:val="en-US"/>
        </w:rPr>
      </w:pPr>
    </w:p>
    <w:p w14:paraId="33F8CE96" w14:textId="54FB1CEC" w:rsidR="00A643FC" w:rsidRPr="00CD5E54" w:rsidRDefault="00FA66B9"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FA66B9">
        <w:rPr>
          <w:rFonts w:ascii="Times New Roman" w:hAnsi="Times New Roman"/>
          <w:sz w:val="24"/>
          <w:szCs w:val="24"/>
          <w:lang w:val="en-US"/>
        </w:rPr>
        <w:t>Sustainable institutional development is the process of creating and strengthening institutions, through the allocation and use of human, material and financial resources to achieve certain goals in a sustainable manner, ensuring predictability and trust in relations between the state, the private sector and citizens</w:t>
      </w:r>
      <w:r w:rsidR="00274C56" w:rsidRPr="00CD5E54">
        <w:rPr>
          <w:rFonts w:ascii="Times New Roman" w:hAnsi="Times New Roman"/>
          <w:sz w:val="24"/>
          <w:szCs w:val="24"/>
          <w:lang w:val="en-US"/>
        </w:rPr>
        <w:t>.</w:t>
      </w:r>
    </w:p>
    <w:p w14:paraId="6B1A1F04" w14:textId="3520A974" w:rsidR="00232BD3" w:rsidRPr="00CD5E54" w:rsidRDefault="00A643F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Sustainable institutional development provides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for economic development, social progress, and political stability, which are essential components of the sustainable development of society and the economy as a whole. It helps create a favorable environment for entrepreneurship, innovation, social justice, and environmental sustainability.</w:t>
      </w:r>
    </w:p>
    <w:p w14:paraId="6424C414" w14:textId="77777777" w:rsidR="00232BD3" w:rsidRPr="00CD5E54" w:rsidRDefault="00274C56"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Developed countries around the world, through development institutions, are striving to promote the sustainable development of their economies, increasingly paying attention to environmental and social aspects when providing financial support, which are fundamental to achieving socially significant results.</w:t>
      </w:r>
    </w:p>
    <w:p w14:paraId="051CFFEE" w14:textId="3CAE9EEF" w:rsidR="00FA66B9" w:rsidRDefault="00FA66B9"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FA66B9">
        <w:rPr>
          <w:rFonts w:ascii="Times New Roman" w:hAnsi="Times New Roman"/>
          <w:sz w:val="24"/>
          <w:szCs w:val="24"/>
          <w:lang w:val="en-US"/>
        </w:rPr>
        <w:t>In his message to the people dated September 01, 2023, "The Economic Course of Fair Kazakhstan"</w:t>
      </w:r>
      <w:r w:rsidR="00B17C47">
        <w:rPr>
          <w:rFonts w:ascii="Times New Roman" w:hAnsi="Times New Roman"/>
          <w:sz w:val="24"/>
          <w:szCs w:val="24"/>
          <w:lang w:val="en-US"/>
        </w:rPr>
        <w:t>,</w:t>
      </w:r>
      <w:r w:rsidRPr="00FA66B9">
        <w:rPr>
          <w:rFonts w:ascii="Times New Roman" w:hAnsi="Times New Roman"/>
          <w:sz w:val="24"/>
          <w:szCs w:val="24"/>
          <w:lang w:val="en-US"/>
        </w:rPr>
        <w:t xml:space="preserve"> President Tokayev K.K. said: "Attracting green finance is becoming more and more relevant for leading economies. Over the past seven years, over two and a half trillion dollars in the </w:t>
      </w:r>
      <w:r w:rsidRPr="00FA66B9">
        <w:rPr>
          <w:rFonts w:ascii="Times New Roman" w:hAnsi="Times New Roman"/>
          <w:sz w:val="24"/>
          <w:szCs w:val="24"/>
          <w:lang w:val="en-US"/>
        </w:rPr>
        <w:lastRenderedPageBreak/>
        <w:t>world have been directed to green bonds. ESG principles have become standard practice in financial institutions in a short period"</w:t>
      </w:r>
      <w:r>
        <w:rPr>
          <w:rFonts w:ascii="Times New Roman" w:hAnsi="Times New Roman"/>
          <w:sz w:val="24"/>
          <w:szCs w:val="24"/>
          <w:lang w:val="en-US"/>
        </w:rPr>
        <w:t>.</w:t>
      </w:r>
    </w:p>
    <w:p w14:paraId="4CD10883" w14:textId="57F8F6B2" w:rsidR="00973238" w:rsidRPr="00CD5E54"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as a socially responsible organization implementing comprehensive government financial support for entrepreneurship in Kazakhstan and its regions, is involved in addressing environmental, social, and corporate governance (ESG) issues as part of its activities. The Fund strives to actively support sustainable development initiatives by implementing best practices and improving its internal regulations in the areas of corporate and social responsibility, sustainable development, environmental, and gender policies.</w:t>
      </w:r>
    </w:p>
    <w:p w14:paraId="0A407245" w14:textId="77777777" w:rsidR="00B44C47" w:rsidRPr="00CD5E54"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 discloses ESG information in its annual report in accordance with the principles of the Global Reporting Initiative (GRI) International Disclosure Standard and the KASE requirements for disclosure in the annual report of listed companies.</w:t>
      </w:r>
    </w:p>
    <w:p w14:paraId="656C6B06" w14:textId="77777777" w:rsidR="00973238" w:rsidRPr="00CD5E54"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Sustainable development in the Fund ensures the consistency of three components in the long term: economic, environmental and social.</w:t>
      </w:r>
    </w:p>
    <w:p w14:paraId="0B52BA99" w14:textId="77777777" w:rsidR="00973238" w:rsidRPr="00CD5E54"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economic component directs the Fund's activities towards the profitability of its operations, ensuring the interests of the Sole Shareholder and investors, improving the efficiency of processes, and increasing investment in the creation and development of more advanced technologies.</w:t>
      </w:r>
    </w:p>
    <w:p w14:paraId="7FCD24E5" w14:textId="77777777" w:rsidR="00973238" w:rsidRPr="00CD5E54"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environmental component promotes the minimization of impacts on biological and physical natural systems, the optimal use of limited resources, and the application of environmentally friendly, energy- and material-saving technologies.</w:t>
      </w:r>
    </w:p>
    <w:p w14:paraId="7C0D508F" w14:textId="77777777" w:rsidR="00973238" w:rsidRPr="00CD5E54"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social component is focused on the principles of social responsibility, which, among other things, include ensuring occupational safety and maintaining the health of workers, fair remuneration and respect for workers' rights, individual development of personnel, the implementation of social programs for personnel, the creation of new jobs, sponsorship and charity, and the holding of environmental and educational campaigns.</w:t>
      </w:r>
    </w:p>
    <w:p w14:paraId="25D88965" w14:textId="77777777" w:rsidR="00973238" w:rsidRPr="00CD5E54"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its internal assessment, the Damu Fund currently takes into account 15 of the 17 UN Sustainable Development Goals in its activities, continuing to improve and achieve sustainable development initiatives:</w:t>
      </w:r>
    </w:p>
    <w:p w14:paraId="7F1B9C83"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u w:val="single"/>
          <w:lang w:val="en-US"/>
        </w:rPr>
        <w:t>Goals 1 and 2</w:t>
      </w:r>
      <w:r w:rsidRPr="00CD5E54">
        <w:rPr>
          <w:color w:val="auto"/>
          <w:lang w:val="en-US"/>
        </w:rPr>
        <w:t>: Eradication of poverty and hunger</w:t>
      </w:r>
    </w:p>
    <w:p w14:paraId="61504FF7" w14:textId="5473464A"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w:t>
      </w:r>
      <w:r w:rsidR="005A63AD" w:rsidRPr="00CD5E54">
        <w:rPr>
          <w:lang w:val="en-US"/>
        </w:rPr>
        <w:t xml:space="preserve">The </w:t>
      </w:r>
      <w:r w:rsidR="00A157BD">
        <w:rPr>
          <w:lang w:val="en-US"/>
        </w:rPr>
        <w:t>Fund</w:t>
      </w:r>
      <w:r w:rsidR="005A63AD" w:rsidRPr="00CD5E54">
        <w:rPr>
          <w:lang w:val="en-US"/>
        </w:rPr>
        <w:t xml:space="preserve"> provides ongoing charitable assistance to WWII veterans, labor veterans, and children of war. The </w:t>
      </w:r>
      <w:r w:rsidR="00A157BD">
        <w:rPr>
          <w:lang w:val="en-US"/>
        </w:rPr>
        <w:t>Fund</w:t>
      </w:r>
      <w:r w:rsidR="005A63AD" w:rsidRPr="00CD5E54">
        <w:rPr>
          <w:lang w:val="en-US"/>
        </w:rPr>
        <w:t xml:space="preserve"> participates in the annual charity fair organized by the Holding. The </w:t>
      </w:r>
      <w:r w:rsidR="00A157BD">
        <w:rPr>
          <w:lang w:val="en-US"/>
        </w:rPr>
        <w:t>Fund</w:t>
      </w:r>
      <w:r w:rsidR="005A63AD" w:rsidRPr="00CD5E54">
        <w:rPr>
          <w:lang w:val="en-US"/>
        </w:rPr>
        <w:t xml:space="preserve"> regularly provides targeted assistance to large and low-income families, as well as other forms of charitable assistance and support in response to requests from private </w:t>
      </w:r>
      <w:r w:rsidR="00A157BD">
        <w:rPr>
          <w:lang w:val="en-US"/>
        </w:rPr>
        <w:t>Fund</w:t>
      </w:r>
      <w:r w:rsidR="005A63AD" w:rsidRPr="00CD5E54">
        <w:rPr>
          <w:lang w:val="en-US"/>
        </w:rPr>
        <w:t>s and individuals.</w:t>
      </w:r>
    </w:p>
    <w:p w14:paraId="611892AA" w14:textId="537E969C"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3</w:t>
      </w:r>
      <w:r w:rsidR="00973238" w:rsidRPr="00CD5E54">
        <w:rPr>
          <w:color w:val="auto"/>
          <w:lang w:val="en-US"/>
        </w:rPr>
        <w:t>: Good health and well-being</w:t>
      </w:r>
    </w:p>
    <w:p w14:paraId="06BF7F18"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As part of measures to support economic sectors affected by COVID-19, in September 2021, the Damu Fund carried out its debut issue of social bonds on the KASE platform in the amount of 1 billion tenge;</w:t>
      </w:r>
    </w:p>
    <w:p w14:paraId="7B7B6E71"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The organization of the work process in the Fund in terms of labor protection is aimed at increasing the level of protection of workers, creating safe working conditions and maintaining the health of workers, systematically introducing a safety culture and preventing accidents;</w:t>
      </w:r>
    </w:p>
    <w:p w14:paraId="4948E421" w14:textId="6F8A9DAB"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xml:space="preserve">- The </w:t>
      </w:r>
      <w:r w:rsidR="00A157BD">
        <w:rPr>
          <w:color w:val="auto"/>
          <w:lang w:val="en-US"/>
        </w:rPr>
        <w:t>Fund</w:t>
      </w:r>
      <w:r w:rsidRPr="00CD5E54">
        <w:rPr>
          <w:color w:val="auto"/>
          <w:lang w:val="en-US"/>
        </w:rPr>
        <w:t>'s employees take part in the "Donor Day" campaign on an annual basis, thereby making their unique contribution to the health and life expectancy of other people;</w:t>
      </w:r>
    </w:p>
    <w:p w14:paraId="0C64A23A" w14:textId="3C445914"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xml:space="preserve">To reduce risks to life and maintain the health of the </w:t>
      </w:r>
      <w:r w:rsidR="00A157BD">
        <w:rPr>
          <w:color w:val="auto"/>
          <w:lang w:val="en-US"/>
        </w:rPr>
        <w:t>Fund</w:t>
      </w:r>
      <w:r w:rsidRPr="00CD5E54">
        <w:rPr>
          <w:color w:val="auto"/>
          <w:lang w:val="en-US"/>
        </w:rPr>
        <w:t>'s employees, free medical insurance is provided and annual medical examinations are conducted without interruption from work. Seasonal vaccinations are also organized to prevent acute respiratory viral infections and influenza.</w:t>
      </w:r>
    </w:p>
    <w:p w14:paraId="0BB0558D" w14:textId="308BCCB1"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4</w:t>
      </w:r>
      <w:r w:rsidR="00973238" w:rsidRPr="00CD5E54">
        <w:rPr>
          <w:color w:val="auto"/>
          <w:lang w:val="en-US"/>
        </w:rPr>
        <w:t>: Quality education</w:t>
      </w:r>
    </w:p>
    <w:p w14:paraId="06CECAD5" w14:textId="59653ABA" w:rsidR="00973238" w:rsidRPr="00CD5E54" w:rsidRDefault="007D553E" w:rsidP="00DB480F">
      <w:pPr>
        <w:tabs>
          <w:tab w:val="left" w:pos="567"/>
          <w:tab w:val="left" w:pos="709"/>
          <w:tab w:val="left" w:pos="851"/>
        </w:tabs>
        <w:ind w:firstLine="567"/>
        <w:jc w:val="both"/>
        <w:rPr>
          <w:color w:val="auto"/>
          <w:lang w:val="en-US"/>
        </w:rPr>
      </w:pPr>
      <w:r w:rsidRPr="00CD5E54">
        <w:rPr>
          <w:lang w:val="en-US"/>
        </w:rPr>
        <w:t xml:space="preserve">Ongoing training and professional development efforts are underway for employees in accordance with the </w:t>
      </w:r>
      <w:r w:rsidR="00A157BD">
        <w:rPr>
          <w:lang w:val="en-US"/>
        </w:rPr>
        <w:t>Fund</w:t>
      </w:r>
      <w:r w:rsidRPr="00CD5E54">
        <w:rPr>
          <w:lang w:val="en-US"/>
        </w:rPr>
        <w:t xml:space="preserve">'s employee training plan. The </w:t>
      </w:r>
      <w:r w:rsidR="00A157BD">
        <w:rPr>
          <w:lang w:val="en-US"/>
        </w:rPr>
        <w:t>Fund</w:t>
      </w:r>
      <w:r w:rsidRPr="00CD5E54">
        <w:rPr>
          <w:lang w:val="en-US"/>
        </w:rPr>
        <w:t xml:space="preserve"> maintains a talent pool, providing adequate motivation and compensation.</w:t>
      </w:r>
    </w:p>
    <w:p w14:paraId="4648013B" w14:textId="5B0C5834" w:rsidR="00FF5E78" w:rsidRPr="001F748C" w:rsidRDefault="00FF5E78" w:rsidP="00DB480F">
      <w:pPr>
        <w:pStyle w:val="af1"/>
        <w:tabs>
          <w:tab w:val="left" w:pos="0"/>
          <w:tab w:val="left" w:pos="709"/>
          <w:tab w:val="left" w:pos="851"/>
        </w:tabs>
        <w:spacing w:after="0" w:line="240" w:lineRule="auto"/>
        <w:ind w:left="0" w:firstLine="567"/>
        <w:jc w:val="both"/>
      </w:pPr>
      <w:r w:rsidRPr="00CD5E54">
        <w:rPr>
          <w:rFonts w:ascii="Times New Roman" w:hAnsi="Times New Roman"/>
          <w:sz w:val="24"/>
          <w:szCs w:val="24"/>
          <w:lang w:val="en-US"/>
        </w:rPr>
        <w:t xml:space="preserve">In 2024, 656 </w:t>
      </w:r>
      <w:r w:rsidR="00A157BD">
        <w:rPr>
          <w:rFonts w:ascii="Times New Roman" w:hAnsi="Times New Roman"/>
          <w:sz w:val="24"/>
          <w:szCs w:val="24"/>
          <w:lang w:val="en-US"/>
        </w:rPr>
        <w:t>Fund</w:t>
      </w:r>
      <w:r w:rsidRPr="00CD5E54">
        <w:rPr>
          <w:rFonts w:ascii="Times New Roman" w:hAnsi="Times New Roman"/>
          <w:sz w:val="24"/>
          <w:szCs w:val="24"/>
          <w:lang w:val="en-US"/>
        </w:rPr>
        <w:t xml:space="preserve"> employees completed training at 30 educational events.</w:t>
      </w:r>
    </w:p>
    <w:p w14:paraId="53640295"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u w:val="single"/>
          <w:lang w:val="en-US"/>
        </w:rPr>
        <w:t>Goal 5</w:t>
      </w:r>
      <w:r w:rsidRPr="00CD5E54">
        <w:rPr>
          <w:color w:val="auto"/>
          <w:lang w:val="en-US"/>
        </w:rPr>
        <w:t>: Gender equality</w:t>
      </w:r>
    </w:p>
    <w:p w14:paraId="3EC3F947" w14:textId="77777777" w:rsidR="007D553E"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xml:space="preserve">Stimulating the development of women's entrepreneurship is one of the key areas of state policy defined by the Head of State. As Head of State Kassym-Jomart Tokayev noted, supporting women's </w:t>
      </w:r>
      <w:r w:rsidRPr="00CD5E54">
        <w:rPr>
          <w:color w:val="auto"/>
          <w:lang w:val="en-US"/>
        </w:rPr>
        <w:lastRenderedPageBreak/>
        <w:t>entrepreneurship, along with the institution of family, mothers with many children, and ensuring gender balance are key priorities of state policy.</w:t>
      </w:r>
    </w:p>
    <w:p w14:paraId="7F3EE8E3" w14:textId="20935F41" w:rsidR="007D553E" w:rsidRPr="00CD5E54" w:rsidRDefault="007D553E" w:rsidP="00DB480F">
      <w:pPr>
        <w:tabs>
          <w:tab w:val="left" w:pos="567"/>
          <w:tab w:val="left" w:pos="709"/>
          <w:tab w:val="left" w:pos="851"/>
        </w:tabs>
        <w:ind w:firstLine="567"/>
        <w:jc w:val="both"/>
        <w:rPr>
          <w:color w:val="auto"/>
          <w:lang w:val="en-US"/>
        </w:rPr>
      </w:pPr>
      <w:r w:rsidRPr="00CD5E54">
        <w:rPr>
          <w:color w:val="auto"/>
          <w:lang w:val="en-US"/>
        </w:rPr>
        <w:t xml:space="preserve">The </w:t>
      </w:r>
      <w:r w:rsidR="00A157BD">
        <w:rPr>
          <w:color w:val="auto"/>
          <w:lang w:val="en-US"/>
        </w:rPr>
        <w:t>Fund</w:t>
      </w:r>
      <w:r w:rsidRPr="00CD5E54">
        <w:rPr>
          <w:color w:val="auto"/>
          <w:lang w:val="en-US"/>
        </w:rPr>
        <w:t xml:space="preserve"> strives to create equal working conditions and career opportunities and does not tolerate gender, ethnic, or other discrimination. The Damu </w:t>
      </w:r>
      <w:r w:rsidR="00A157BD">
        <w:rPr>
          <w:color w:val="auto"/>
          <w:lang w:val="en-US"/>
        </w:rPr>
        <w:t>Fund</w:t>
      </w:r>
      <w:r w:rsidRPr="00CD5E54">
        <w:rPr>
          <w:color w:val="auto"/>
          <w:lang w:val="en-US"/>
        </w:rPr>
        <w:t xml:space="preserve"> has implemented a gender policy.</w:t>
      </w:r>
    </w:p>
    <w:p w14:paraId="2B795356" w14:textId="77777777" w:rsidR="007D553E" w:rsidRPr="00CD5E54" w:rsidRDefault="007D553E" w:rsidP="00DB480F">
      <w:pPr>
        <w:tabs>
          <w:tab w:val="left" w:pos="567"/>
          <w:tab w:val="left" w:pos="709"/>
          <w:tab w:val="left" w:pos="851"/>
        </w:tabs>
        <w:ind w:firstLine="567"/>
        <w:jc w:val="both"/>
        <w:rPr>
          <w:color w:val="auto"/>
          <w:lang w:val="en-US"/>
        </w:rPr>
      </w:pPr>
      <w:r w:rsidRPr="00CD5E54">
        <w:rPr>
          <w:color w:val="auto"/>
          <w:lang w:val="en-US"/>
        </w:rPr>
        <w:t>According to 2024 data, the share of men in the total number of employees of the Damu Fund is 39.8%, women - 60.8%, women in middle management - 50%.</w:t>
      </w:r>
    </w:p>
    <w:p w14:paraId="687EE248" w14:textId="1B8AE5F0" w:rsidR="00973238" w:rsidRPr="00CD5E54" w:rsidRDefault="00973238" w:rsidP="00DB480F">
      <w:pPr>
        <w:tabs>
          <w:tab w:val="left" w:pos="567"/>
          <w:tab w:val="left" w:pos="709"/>
          <w:tab w:val="left" w:pos="851"/>
        </w:tabs>
        <w:ind w:firstLine="567"/>
        <w:jc w:val="both"/>
        <w:rPr>
          <w:color w:val="auto"/>
          <w:lang w:val="en-US"/>
        </w:rPr>
      </w:pPr>
      <w:r w:rsidRPr="00CD5E54">
        <w:rPr>
          <w:color w:val="auto"/>
          <w:u w:val="single"/>
          <w:lang w:val="en-US"/>
        </w:rPr>
        <w:t>Goal 6</w:t>
      </w:r>
      <w:r w:rsidR="00915874">
        <w:rPr>
          <w:color w:val="auto"/>
          <w:u w:val="single"/>
          <w:lang w:val="en-US"/>
        </w:rPr>
        <w:t xml:space="preserve"> </w:t>
      </w:r>
      <w:r w:rsidRPr="00CD5E54">
        <w:rPr>
          <w:color w:val="auto"/>
          <w:lang w:val="en-US"/>
        </w:rPr>
        <w:t>Clean water and sanitation</w:t>
      </w:r>
    </w:p>
    <w:p w14:paraId="66BBCE67" w14:textId="0CEF18D4"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xml:space="preserve">As part of the "green office" concept, the </w:t>
      </w:r>
      <w:r w:rsidR="00A157BD">
        <w:rPr>
          <w:color w:val="auto"/>
          <w:lang w:val="en-US"/>
        </w:rPr>
        <w:t>Fund</w:t>
      </w:r>
      <w:r w:rsidRPr="00CD5E54">
        <w:rPr>
          <w:color w:val="auto"/>
          <w:lang w:val="en-US"/>
        </w:rPr>
        <w:t xml:space="preserve"> is working to improve the culture of rational use of water resources and sanitation for everyone. This includes providing employees with clean drinking water, as well as sanitary items (sanitizers, soap, wipes, etc.).</w:t>
      </w:r>
    </w:p>
    <w:p w14:paraId="4DEA34FC"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u w:val="single"/>
          <w:lang w:val="en-US"/>
        </w:rPr>
        <w:t>Goal 7</w:t>
      </w:r>
      <w:r w:rsidRPr="00CD5E54">
        <w:rPr>
          <w:color w:val="auto"/>
          <w:lang w:val="en-US"/>
        </w:rPr>
        <w:t>: Affordable and clean energy</w:t>
      </w:r>
    </w:p>
    <w:p w14:paraId="2CFF9325"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In 2020, the Fund conducted its debut placement of green bonds on the Astana International Financial Center (AIX) stock exchange, with UNDP support as part of the "Reducing the Risks of Investing in Renewable Energy" project, totaling 200 million tenge. The issue was conducted in accordance with the principles of the International Capital Market Association (ICMA). For this, in April 2021, the Fund was awarded the prestigious Climate Bonds Initiative award in the "Green Market Pioneer" category.</w:t>
      </w:r>
    </w:p>
    <w:p w14:paraId="63BCC5FC" w14:textId="5201E62A"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8</w:t>
      </w:r>
      <w:r w:rsidR="00973238" w:rsidRPr="00CD5E54">
        <w:rPr>
          <w:color w:val="auto"/>
          <w:lang w:val="en-US"/>
        </w:rPr>
        <w:t>: Decent work and economic growth</w:t>
      </w:r>
    </w:p>
    <w:p w14:paraId="5C0442B1"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State support measures implemented by the Fund (subsidizing interest rates on loans, guaranteeing the obligations of entrepreneurs, and preferential lending) are aimed at stimulating micro-, small-, and medium-sized businesses to maintain existing and create new permanent jobs, increase the level of production of domestic enterprises, and ensure greater access to financing.</w:t>
      </w:r>
    </w:p>
    <w:p w14:paraId="2A7F5A97" w14:textId="27445210"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 xml:space="preserve">- As part of its internal personnel policy, the </w:t>
      </w:r>
      <w:r w:rsidR="00A157BD">
        <w:rPr>
          <w:color w:val="auto"/>
          <w:lang w:val="en-US"/>
        </w:rPr>
        <w:t>Fund</w:t>
      </w:r>
      <w:r w:rsidRPr="00CD5E54">
        <w:rPr>
          <w:color w:val="auto"/>
          <w:lang w:val="en-US"/>
        </w:rPr>
        <w:t xml:space="preserve"> strives to create competitive working conditions, ensuring reliable and safe working conditions for all employees.</w:t>
      </w:r>
    </w:p>
    <w:p w14:paraId="72C327F9" w14:textId="456906DD"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9</w:t>
      </w:r>
      <w:r w:rsidR="00973238" w:rsidRPr="00CD5E54">
        <w:rPr>
          <w:color w:val="auto"/>
          <w:lang w:val="en-US"/>
        </w:rPr>
        <w:t>: Industrialization, innovation and infrastructure</w:t>
      </w:r>
    </w:p>
    <w:p w14:paraId="43E1627C" w14:textId="77777777" w:rsidR="00973238" w:rsidRPr="00CD5E54" w:rsidRDefault="005B3E00" w:rsidP="00DB480F">
      <w:pPr>
        <w:tabs>
          <w:tab w:val="left" w:pos="567"/>
          <w:tab w:val="left" w:pos="709"/>
          <w:tab w:val="left" w:pos="851"/>
        </w:tabs>
        <w:ind w:left="567"/>
        <w:jc w:val="both"/>
        <w:rPr>
          <w:color w:val="auto"/>
          <w:lang w:val="en-US"/>
        </w:rPr>
      </w:pPr>
      <w:r w:rsidRPr="00CD5E54">
        <w:rPr>
          <w:color w:val="auto"/>
          <w:lang w:val="en-US"/>
        </w:rPr>
        <w:tab/>
      </w:r>
      <w:r w:rsidR="00973238" w:rsidRPr="00CD5E54">
        <w:rPr>
          <w:color w:val="auto"/>
          <w:lang w:val="en-US"/>
        </w:rPr>
        <w:t>The Fund provides support to micro, small, and medium-sized entrepreneurs in priority sectors of the economy, including processing, manufacturing, medicine, education, tourism, etc., as well as without sectoral restrictions.</w:t>
      </w:r>
    </w:p>
    <w:p w14:paraId="388BFF98" w14:textId="21333727" w:rsidR="00973238" w:rsidRPr="00CD5E54" w:rsidRDefault="005B3E00" w:rsidP="00DB480F">
      <w:pPr>
        <w:tabs>
          <w:tab w:val="left" w:pos="709"/>
          <w:tab w:val="left" w:pos="851"/>
        </w:tabs>
        <w:ind w:firstLine="567"/>
        <w:jc w:val="both"/>
        <w:rPr>
          <w:color w:val="auto"/>
          <w:lang w:val="en-US"/>
        </w:rPr>
      </w:pPr>
      <w:r w:rsidRPr="00CD5E54">
        <w:rPr>
          <w:color w:val="auto"/>
          <w:lang w:val="en-US"/>
        </w:rPr>
        <w:tab/>
      </w:r>
      <w:r w:rsidR="00973238" w:rsidRPr="00CD5E54">
        <w:rPr>
          <w:color w:val="auto"/>
          <w:lang w:val="en-US"/>
        </w:rPr>
        <w:t xml:space="preserve">The </w:t>
      </w:r>
      <w:r w:rsidR="00A157BD">
        <w:rPr>
          <w:color w:val="auto"/>
          <w:lang w:val="en-US"/>
        </w:rPr>
        <w:t>Fund</w:t>
      </w:r>
      <w:r w:rsidR="00973238" w:rsidRPr="00CD5E54">
        <w:rPr>
          <w:color w:val="auto"/>
          <w:lang w:val="en-US"/>
        </w:rPr>
        <w:t xml:space="preserve"> annually hosts the "ULTTYQ ÓNIM" exhibition of Kazakhstani manufacturers who have received state support. This exhibition serves as an effective platform for bringing together Kazakhstani manufacturers, providing participants with a unique opportunity to exchange experiences in the production, processing, and promotion of domestic products to achieve high results in improving the quality of products and services.</w:t>
      </w:r>
    </w:p>
    <w:p w14:paraId="6DD94E2C" w14:textId="5266D50D"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10</w:t>
      </w:r>
      <w:r w:rsidR="00973238" w:rsidRPr="00CD5E54">
        <w:rPr>
          <w:color w:val="auto"/>
          <w:lang w:val="en-US"/>
        </w:rPr>
        <w:t>: Reducing inequality</w:t>
      </w:r>
    </w:p>
    <w:p w14:paraId="4498D3AA" w14:textId="0DE8B1DE" w:rsidR="007D553E" w:rsidRPr="00CD5E54" w:rsidRDefault="007D553E" w:rsidP="00DB480F">
      <w:pPr>
        <w:tabs>
          <w:tab w:val="left" w:pos="567"/>
          <w:tab w:val="left" w:pos="709"/>
          <w:tab w:val="left" w:pos="851"/>
        </w:tabs>
        <w:ind w:firstLine="567"/>
        <w:jc w:val="both"/>
        <w:rPr>
          <w:color w:val="auto"/>
          <w:lang w:val="en-US"/>
        </w:rPr>
      </w:pPr>
      <w:r w:rsidRPr="00CD5E54">
        <w:rPr>
          <w:color w:val="auto"/>
          <w:lang w:val="en-US"/>
        </w:rPr>
        <w:t xml:space="preserve">In order to provide support and include people with physical development difficulties, including those with disabilities or mental disabilities, in the active life of the </w:t>
      </w:r>
      <w:r w:rsidR="00A157BD">
        <w:rPr>
          <w:color w:val="auto"/>
          <w:lang w:val="en-US"/>
        </w:rPr>
        <w:t>Fund</w:t>
      </w:r>
      <w:r w:rsidRPr="00CD5E54">
        <w:rPr>
          <w:color w:val="auto"/>
          <w:lang w:val="en-US"/>
        </w:rPr>
        <w:t xml:space="preserve">, the total number of employees of the </w:t>
      </w:r>
      <w:r w:rsidR="00A157BD">
        <w:rPr>
          <w:color w:val="auto"/>
          <w:lang w:val="en-US"/>
        </w:rPr>
        <w:t>Fund</w:t>
      </w:r>
      <w:r w:rsidRPr="00CD5E54">
        <w:rPr>
          <w:color w:val="auto"/>
          <w:lang w:val="en-US"/>
        </w:rPr>
        <w:t xml:space="preserve"> includes employees with disabilities.</w:t>
      </w:r>
    </w:p>
    <w:p w14:paraId="35FCE6F7" w14:textId="77777777" w:rsidR="007D553E" w:rsidRPr="00CD5E54" w:rsidRDefault="007D553E" w:rsidP="00DB480F">
      <w:pPr>
        <w:tabs>
          <w:tab w:val="left" w:pos="567"/>
          <w:tab w:val="left" w:pos="709"/>
          <w:tab w:val="left" w:pos="851"/>
        </w:tabs>
        <w:ind w:firstLine="567"/>
        <w:jc w:val="both"/>
        <w:rPr>
          <w:color w:val="auto"/>
          <w:lang w:val="en-US"/>
        </w:rPr>
      </w:pPr>
      <w:r w:rsidRPr="00CD5E54">
        <w:rPr>
          <w:color w:val="auto"/>
          <w:lang w:val="en-US"/>
        </w:rPr>
        <w:t>Thanks to government support measures provided by the Fund, the share of women entrepreneurs accounts for more than 48% of the total number of entrepreneurs who received financial support under all the Fund's programs.</w:t>
      </w:r>
    </w:p>
    <w:p w14:paraId="42357323" w14:textId="77777777" w:rsidR="00973238" w:rsidRPr="00CD5E54" w:rsidRDefault="007D553E" w:rsidP="00DB480F">
      <w:pPr>
        <w:tabs>
          <w:tab w:val="left" w:pos="567"/>
          <w:tab w:val="left" w:pos="709"/>
          <w:tab w:val="left" w:pos="851"/>
        </w:tabs>
        <w:ind w:firstLine="567"/>
        <w:jc w:val="both"/>
        <w:rPr>
          <w:color w:val="auto"/>
          <w:lang w:val="en-US"/>
        </w:rPr>
      </w:pPr>
      <w:r w:rsidRPr="00CD5E54">
        <w:rPr>
          <w:color w:val="auto"/>
          <w:lang w:val="en-US"/>
        </w:rPr>
        <w:t>Thus, as of 01.01.2025, the Fund supported 105.6 thousand women's entrepreneurship projects for a total loan amount of 4,118 billion tenge (30% of the total amount).</w:t>
      </w:r>
    </w:p>
    <w:p w14:paraId="178EE4A7" w14:textId="2DB9DD1A"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t xml:space="preserve">Goal </w:t>
      </w:r>
      <w:r w:rsidR="00973238" w:rsidRPr="00CD5E54">
        <w:rPr>
          <w:color w:val="auto"/>
          <w:u w:val="single"/>
          <w:lang w:val="en-US"/>
        </w:rPr>
        <w:t>11</w:t>
      </w:r>
      <w:r w:rsidR="00973238" w:rsidRPr="00CD5E54">
        <w:rPr>
          <w:color w:val="auto"/>
          <w:lang w:val="en-US"/>
        </w:rPr>
        <w:t>: Sustainable Cities and Communities</w:t>
      </w:r>
    </w:p>
    <w:p w14:paraId="5FE69376" w14:textId="77777777" w:rsidR="00225BC6" w:rsidRPr="00CD5E54" w:rsidRDefault="00973238" w:rsidP="00DB480F">
      <w:pPr>
        <w:tabs>
          <w:tab w:val="left" w:pos="567"/>
          <w:tab w:val="left" w:pos="709"/>
          <w:tab w:val="left" w:pos="851"/>
        </w:tabs>
        <w:ind w:firstLine="567"/>
        <w:jc w:val="both"/>
        <w:rPr>
          <w:color w:val="auto"/>
          <w:lang w:val="en-US"/>
        </w:rPr>
      </w:pPr>
      <w:r w:rsidRPr="00CD5E54">
        <w:rPr>
          <w:color w:val="auto"/>
          <w:lang w:val="en-US"/>
        </w:rPr>
        <w:t>The Damu Fund, together with the United Nations Development Programme in Kazakhstan and the Government of Kazakhstan, with financial support from the Global Environment Facility (GEF), is also working on the "Sustainable Cities for Low-Carbon Development" project, for which the Fund signed an agreement with UNDP in 2017. The project aims to support and develop energy efficiency in urban infrastructure and reduce CO2 emissions by subsidizing interest rates and a portion of the principal on loans to MSMEs.</w:t>
      </w:r>
    </w:p>
    <w:p w14:paraId="2BB409EF" w14:textId="77777777" w:rsidR="00973238" w:rsidRPr="00CD5E54" w:rsidRDefault="00225BC6" w:rsidP="00DB480F">
      <w:pPr>
        <w:tabs>
          <w:tab w:val="left" w:pos="567"/>
          <w:tab w:val="left" w:pos="709"/>
          <w:tab w:val="left" w:pos="851"/>
        </w:tabs>
        <w:ind w:firstLine="567"/>
        <w:jc w:val="both"/>
        <w:rPr>
          <w:color w:val="auto"/>
          <w:lang w:val="en-US"/>
        </w:rPr>
      </w:pPr>
      <w:r w:rsidRPr="00CD5E54">
        <w:rPr>
          <w:color w:val="auto"/>
          <w:lang w:val="en-US"/>
        </w:rPr>
        <w:t>In 2022, the Fund signed a new Agreement with UNDP to subsidize projects within the framework of "Sustainable Cities for Low-Carbon Development in Kazakhstan" with a grant of US$1.3 million (585.4 million tenge).</w:t>
      </w:r>
    </w:p>
    <w:p w14:paraId="34EDD72A" w14:textId="6DB8B489" w:rsidR="00973238" w:rsidRPr="00CD5E54" w:rsidRDefault="00915874" w:rsidP="00DB480F">
      <w:pPr>
        <w:tabs>
          <w:tab w:val="left" w:pos="567"/>
          <w:tab w:val="left" w:pos="709"/>
          <w:tab w:val="left" w:pos="851"/>
        </w:tabs>
        <w:ind w:firstLine="567"/>
        <w:jc w:val="both"/>
        <w:rPr>
          <w:color w:val="auto"/>
          <w:lang w:val="en-US"/>
        </w:rPr>
      </w:pPr>
      <w:r w:rsidRPr="00CD5E54">
        <w:rPr>
          <w:color w:val="auto"/>
          <w:u w:val="single"/>
          <w:lang w:val="en-US"/>
        </w:rPr>
        <w:lastRenderedPageBreak/>
        <w:t xml:space="preserve">Goal </w:t>
      </w:r>
      <w:r w:rsidR="00973238" w:rsidRPr="00CD5E54">
        <w:rPr>
          <w:color w:val="auto"/>
          <w:u w:val="single"/>
          <w:lang w:val="en-US"/>
        </w:rPr>
        <w:t>12</w:t>
      </w:r>
      <w:r w:rsidR="00973238" w:rsidRPr="00CD5E54">
        <w:rPr>
          <w:color w:val="auto"/>
          <w:lang w:val="en-US"/>
        </w:rPr>
        <w:t>: Responsible consumption and production</w:t>
      </w:r>
    </w:p>
    <w:p w14:paraId="236428B9"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As part of the "green office" concept, work is underway to improve energy conservation practices and reduce resource consumption (energy and water consumption). Paperwork is optimized—paper-free.</w:t>
      </w:r>
    </w:p>
    <w:p w14:paraId="547AF91A" w14:textId="14FFD6C3"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 xml:space="preserve">This work is ongoing. Waste sorting bins (plastic, glass, paper, and unsorted waste) will be installed on each floor of the </w:t>
      </w:r>
      <w:r w:rsidR="00A157BD">
        <w:rPr>
          <w:rFonts w:ascii="Times New Roman" w:eastAsiaTheme="minorEastAsia" w:hAnsi="Times New Roman"/>
          <w:sz w:val="24"/>
          <w:szCs w:val="24"/>
          <w:lang w:val="en-US" w:eastAsia="ru-RU"/>
        </w:rPr>
        <w:t>Fund</w:t>
      </w:r>
      <w:r w:rsidRPr="00CD5E54">
        <w:rPr>
          <w:rFonts w:ascii="Times New Roman" w:eastAsiaTheme="minorEastAsia" w:hAnsi="Times New Roman"/>
          <w:sz w:val="24"/>
          <w:szCs w:val="24"/>
          <w:lang w:val="en-US" w:eastAsia="ru-RU"/>
        </w:rPr>
        <w:t xml:space="preserve"> for the period 2022-2023. Waste removal and separate recycling are being coordinated with the supplier.</w:t>
      </w:r>
    </w:p>
    <w:p w14:paraId="0CB3479F"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In 2023, 85 kg of recyclable materials were collected.</w:t>
      </w:r>
    </w:p>
    <w:p w14:paraId="54CF44D3" w14:textId="3CBC9A21" w:rsidR="00067EEC" w:rsidRPr="00CD5E54" w:rsidRDefault="00067EEC"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 xml:space="preserve">The </w:t>
      </w:r>
      <w:r w:rsidR="00A157BD">
        <w:rPr>
          <w:rFonts w:ascii="Times New Roman" w:eastAsiaTheme="minorEastAsia" w:hAnsi="Times New Roman"/>
          <w:sz w:val="24"/>
          <w:szCs w:val="24"/>
          <w:lang w:val="en-US" w:eastAsia="ru-RU"/>
        </w:rPr>
        <w:t>Fund</w:t>
      </w:r>
      <w:r w:rsidRPr="00CD5E54">
        <w:rPr>
          <w:rFonts w:ascii="Times New Roman" w:eastAsiaTheme="minorEastAsia" w:hAnsi="Times New Roman"/>
          <w:sz w:val="24"/>
          <w:szCs w:val="24"/>
          <w:lang w:val="en-US" w:eastAsia="ru-RU"/>
        </w:rPr>
        <w:t xml:space="preserve"> sorts and stores computer equipment and cartridges. Used cartridges are disposed of under a recycling agreement in accordance with established procedures.</w:t>
      </w:r>
    </w:p>
    <w:p w14:paraId="2E9036FC"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u w:val="single"/>
          <w:lang w:val="en-US"/>
        </w:rPr>
        <w:t>Goal 13</w:t>
      </w:r>
      <w:r w:rsidRPr="00CD5E54">
        <w:rPr>
          <w:color w:val="auto"/>
          <w:lang w:val="en-US"/>
        </w:rPr>
        <w:t>: Combating climate change</w:t>
      </w:r>
    </w:p>
    <w:p w14:paraId="6D9A1D56"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From 2018 to 2024, UNDP-GEF supported 56 projects with a loan portfolio of 4.3 billion tenge, with subsidies paid amounting to 1.0 billion tenge.</w:t>
      </w:r>
    </w:p>
    <w:p w14:paraId="4C646A7F"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From 2020 to 2024, UNDP-RES supported 25 projects totaling 2.3 billion tenge in loan portfolio, with subsidies paid totaling 0.7 billion tenge.</w:t>
      </w:r>
    </w:p>
    <w:p w14:paraId="43566686" w14:textId="77777777" w:rsidR="00973238"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Within the framework of the guarantee instrument, 7 projects were supported in the amount of 179.1 million tenge, the guarantee amount is 72.1 million tenge.</w:t>
      </w:r>
    </w:p>
    <w:p w14:paraId="64A7FB18" w14:textId="77777777" w:rsidR="00973238"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Within the framework of the implemented instruments, the Fund supported 212 green projects for a total loan amount of 248.5 billion tenge.</w:t>
      </w:r>
    </w:p>
    <w:p w14:paraId="1B58AE73" w14:textId="52B403A5" w:rsidR="007D553E" w:rsidRPr="00CD5E54" w:rsidRDefault="00915874"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915874">
        <w:rPr>
          <w:rFonts w:ascii="Times New Roman" w:eastAsiaTheme="minorEastAsia" w:hAnsi="Times New Roman"/>
          <w:sz w:val="24"/>
          <w:szCs w:val="24"/>
          <w:u w:val="single"/>
          <w:lang w:val="en-US" w:eastAsia="ru-RU"/>
        </w:rPr>
        <w:t>Goal</w:t>
      </w:r>
      <w:r w:rsidRPr="00CD5E54">
        <w:rPr>
          <w:u w:val="single"/>
          <w:lang w:val="en-US"/>
        </w:rPr>
        <w:t xml:space="preserve"> </w:t>
      </w:r>
      <w:r w:rsidR="007D553E" w:rsidRPr="00CD5E54">
        <w:rPr>
          <w:rFonts w:ascii="Times New Roman" w:eastAsiaTheme="minorEastAsia" w:hAnsi="Times New Roman"/>
          <w:sz w:val="24"/>
          <w:szCs w:val="24"/>
          <w:u w:val="single"/>
          <w:lang w:val="en-US" w:eastAsia="ru-RU"/>
        </w:rPr>
        <w:t>16</w:t>
      </w:r>
      <w:r w:rsidR="007D553E" w:rsidRPr="00CD5E54">
        <w:rPr>
          <w:rFonts w:ascii="Times New Roman" w:hAnsi="Times New Roman"/>
          <w:sz w:val="24"/>
          <w:szCs w:val="24"/>
          <w:lang w:val="en-US"/>
        </w:rPr>
        <w:t>:</w:t>
      </w:r>
      <w:r>
        <w:rPr>
          <w:rFonts w:ascii="Times New Roman" w:hAnsi="Times New Roman"/>
          <w:sz w:val="24"/>
          <w:szCs w:val="24"/>
          <w:lang w:val="en-US"/>
        </w:rPr>
        <w:t xml:space="preserve"> </w:t>
      </w:r>
      <w:r w:rsidR="007D553E" w:rsidRPr="00CD5E54">
        <w:rPr>
          <w:rFonts w:ascii="Times New Roman" w:eastAsiaTheme="minorEastAsia" w:hAnsi="Times New Roman"/>
          <w:sz w:val="24"/>
          <w:szCs w:val="24"/>
          <w:lang w:val="en-US" w:eastAsia="ru-RU"/>
        </w:rPr>
        <w:t>Peace, justice and effective institutions</w:t>
      </w:r>
    </w:p>
    <w:p w14:paraId="34292661" w14:textId="77777777" w:rsidR="008C3A3D" w:rsidRPr="00CD5E54" w:rsidRDefault="008C3A3D"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The Damu Fund integrates sustainable development principles in accordance with its Development Strategy for 2024–2033. Particular attention is paid to responsible financing, environmental and social aspects, and corporate governance issues in the projects supported by the Fund.</w:t>
      </w:r>
    </w:p>
    <w:p w14:paraId="29B21E59" w14:textId="77777777" w:rsidR="008C3A3D" w:rsidRPr="00CD5E54" w:rsidRDefault="008C3A3D"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The fund adheres to ESG principles and actively implements them in its activities.</w:t>
      </w:r>
    </w:p>
    <w:p w14:paraId="3142FE45"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In order to reduce the level of corruption, regular training of employees on anti-corruption behavior is carried out.</w:t>
      </w:r>
    </w:p>
    <w:p w14:paraId="722170E9" w14:textId="77777777" w:rsidR="007D553E" w:rsidRPr="00CD5E54"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en-US" w:eastAsia="ru-RU"/>
        </w:rPr>
      </w:pPr>
      <w:r w:rsidRPr="00CD5E54">
        <w:rPr>
          <w:rFonts w:ascii="Times New Roman" w:eastAsiaTheme="minorEastAsia" w:hAnsi="Times New Roman"/>
          <w:sz w:val="24"/>
          <w:szCs w:val="24"/>
          <w:lang w:val="en-US" w:eastAsia="ru-RU"/>
        </w:rPr>
        <w:t>Transparency and accountability are ensured through the disclosure of non-financial information and compliance with corporate governance standards.</w:t>
      </w:r>
    </w:p>
    <w:p w14:paraId="07F57E4E" w14:textId="30CAF9FD" w:rsidR="00973238" w:rsidRPr="00CD5E54" w:rsidRDefault="008D765E" w:rsidP="00DB480F">
      <w:pPr>
        <w:tabs>
          <w:tab w:val="left" w:pos="567"/>
          <w:tab w:val="left" w:pos="709"/>
          <w:tab w:val="left" w:pos="851"/>
        </w:tabs>
        <w:ind w:firstLine="567"/>
        <w:jc w:val="both"/>
        <w:rPr>
          <w:color w:val="auto"/>
          <w:lang w:val="en-US"/>
        </w:rPr>
      </w:pPr>
      <w:r w:rsidRPr="00915874">
        <w:rPr>
          <w:color w:val="auto"/>
          <w:u w:val="single"/>
          <w:lang w:val="en-US"/>
        </w:rPr>
        <w:t>Goal</w:t>
      </w:r>
      <w:r w:rsidRPr="00CD5E54">
        <w:rPr>
          <w:color w:val="auto"/>
          <w:u w:val="single"/>
          <w:lang w:val="en-US"/>
        </w:rPr>
        <w:t xml:space="preserve"> </w:t>
      </w:r>
      <w:r w:rsidR="00973238" w:rsidRPr="00CD5E54">
        <w:rPr>
          <w:color w:val="auto"/>
          <w:u w:val="single"/>
          <w:lang w:val="en-US"/>
        </w:rPr>
        <w:t>17</w:t>
      </w:r>
      <w:r w:rsidR="00973238" w:rsidRPr="00CD5E54">
        <w:rPr>
          <w:color w:val="auto"/>
          <w:lang w:val="en-US"/>
        </w:rPr>
        <w:t>: Partnership for Sustainable Development</w:t>
      </w:r>
    </w:p>
    <w:p w14:paraId="6FFB19C6" w14:textId="77777777" w:rsidR="00973238" w:rsidRPr="00CD5E54" w:rsidRDefault="00973238" w:rsidP="00DB480F">
      <w:pPr>
        <w:tabs>
          <w:tab w:val="left" w:pos="567"/>
          <w:tab w:val="left" w:pos="709"/>
          <w:tab w:val="left" w:pos="851"/>
        </w:tabs>
        <w:ind w:firstLine="567"/>
        <w:jc w:val="both"/>
        <w:rPr>
          <w:color w:val="auto"/>
          <w:lang w:val="en-US"/>
        </w:rPr>
      </w:pPr>
      <w:r w:rsidRPr="00CD5E54">
        <w:rPr>
          <w:color w:val="auto"/>
          <w:lang w:val="en-US"/>
        </w:rPr>
        <w:t>The Fund actively participates in national and international sustainable development initiatives aimed at facilitating the country's accelerated transition to a green economy. In 2022, the Fund became a founding member of the National ESG Club of Kazakhstan and actively works with international institutions and financial organizations to raise funds to support green and sustainable projects.</w:t>
      </w:r>
    </w:p>
    <w:p w14:paraId="0F18BDEA" w14:textId="77777777" w:rsidR="00B6514A" w:rsidRPr="00CD5E54" w:rsidRDefault="00B6514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as a national development institution, sets three strategic goals within the framework of the implementation of the second strategic direction:</w:t>
      </w:r>
    </w:p>
    <w:p w14:paraId="433A6C96" w14:textId="77777777" w:rsidR="00B6514A" w:rsidRPr="00CD5E54" w:rsidRDefault="007A4374"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u w:val="single"/>
          <w:lang w:val="en-US"/>
        </w:rPr>
      </w:pPr>
      <w:r w:rsidRPr="00CD5E54">
        <w:rPr>
          <w:rFonts w:ascii="Times New Roman" w:hAnsi="Times New Roman"/>
          <w:bCs/>
          <w:sz w:val="24"/>
          <w:szCs w:val="24"/>
          <w:u w:val="single"/>
          <w:lang w:val="en-US"/>
        </w:rPr>
        <w:t>Improving the level of sustainable development;</w:t>
      </w:r>
    </w:p>
    <w:p w14:paraId="33648146" w14:textId="77777777" w:rsidR="00C96A72" w:rsidRPr="00C9519D" w:rsidRDefault="00C96A72"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u w:val="single"/>
          <w:lang w:val="ru-RU"/>
        </w:rPr>
      </w:pPr>
      <w:r>
        <w:rPr>
          <w:rFonts w:ascii="Times New Roman" w:hAnsi="Times New Roman"/>
          <w:bCs/>
          <w:sz w:val="24"/>
          <w:szCs w:val="24"/>
          <w:u w:val="single"/>
          <w:lang w:val="ru-RU"/>
        </w:rPr>
        <w:t>Digitalization of business processes;</w:t>
      </w:r>
    </w:p>
    <w:p w14:paraId="31C0188C" w14:textId="77777777" w:rsidR="00B6514A" w:rsidRPr="00CD5E54" w:rsidRDefault="007A4374"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lang w:val="en-US"/>
        </w:rPr>
      </w:pPr>
      <w:r w:rsidRPr="00CD5E54">
        <w:rPr>
          <w:rFonts w:ascii="Times New Roman" w:hAnsi="Times New Roman"/>
          <w:bCs/>
          <w:sz w:val="24"/>
          <w:szCs w:val="24"/>
          <w:u w:val="single"/>
          <w:lang w:val="en-US"/>
        </w:rPr>
        <w:t>Improving the level of corporate governance</w:t>
      </w:r>
      <w:r w:rsidR="00B6514A" w:rsidRPr="00CD5E54">
        <w:rPr>
          <w:rFonts w:ascii="Times New Roman" w:hAnsi="Times New Roman"/>
          <w:bCs/>
          <w:sz w:val="24"/>
          <w:szCs w:val="24"/>
          <w:lang w:val="en-US"/>
        </w:rPr>
        <w:t>.</w:t>
      </w:r>
    </w:p>
    <w:p w14:paraId="317A7C97" w14:textId="77777777" w:rsidR="00B6514A" w:rsidRPr="00CD5E54" w:rsidRDefault="00B6514A" w:rsidP="00B6514A">
      <w:pPr>
        <w:tabs>
          <w:tab w:val="left" w:pos="567"/>
        </w:tabs>
        <w:ind w:firstLine="567"/>
        <w:jc w:val="both"/>
        <w:rPr>
          <w:color w:val="auto"/>
          <w:lang w:val="en-US"/>
        </w:rPr>
      </w:pPr>
    </w:p>
    <w:p w14:paraId="430A7C81" w14:textId="77777777" w:rsidR="00B6514A" w:rsidRPr="00CD5E54" w:rsidRDefault="00B6514A" w:rsidP="00B6514A">
      <w:pPr>
        <w:jc w:val="center"/>
        <w:rPr>
          <w:b/>
          <w:bCs/>
          <w:color w:val="auto"/>
          <w:lang w:val="en-US"/>
        </w:rPr>
      </w:pPr>
      <w:r w:rsidRPr="00CD5E54">
        <w:rPr>
          <w:b/>
          <w:bCs/>
          <w:color w:val="auto"/>
          <w:lang w:val="en-US"/>
        </w:rPr>
        <w:t>Strategic goal - Improving the level of sustainable development</w:t>
      </w:r>
    </w:p>
    <w:p w14:paraId="04573DEE" w14:textId="77777777" w:rsidR="00151872" w:rsidRPr="00CD5E54" w:rsidRDefault="00151872" w:rsidP="00B6514A">
      <w:pPr>
        <w:jc w:val="center"/>
        <w:rPr>
          <w:b/>
          <w:bCs/>
          <w:color w:val="auto"/>
          <w:lang w:val="en-US"/>
        </w:rPr>
      </w:pPr>
    </w:p>
    <w:p w14:paraId="21EF7781" w14:textId="6F1BA908" w:rsidR="005D07C7" w:rsidRPr="00CD5E54" w:rsidRDefault="00C96DC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recognizes the importance of its economic, environmental, and social impact to ensure long-term sustainable development while balancing stakeholder interests. A responsible, thoughtful, and rational approach to stakeholder engagement will contribute to the </w:t>
      </w:r>
      <w:r w:rsidR="00A157BD">
        <w:rPr>
          <w:rFonts w:ascii="Times New Roman" w:hAnsi="Times New Roman"/>
          <w:sz w:val="24"/>
          <w:szCs w:val="24"/>
          <w:lang w:val="en-US"/>
        </w:rPr>
        <w:t>Fund</w:t>
      </w:r>
      <w:r w:rsidRPr="00CD5E54">
        <w:rPr>
          <w:rFonts w:ascii="Times New Roman" w:hAnsi="Times New Roman"/>
          <w:sz w:val="24"/>
          <w:szCs w:val="24"/>
          <w:lang w:val="en-US"/>
        </w:rPr>
        <w:t>'s sustainable development.</w:t>
      </w:r>
    </w:p>
    <w:p w14:paraId="7AC8517F" w14:textId="77777777" w:rsidR="005D07C7" w:rsidRPr="00CD5E54" w:rsidRDefault="008C0C7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achieving the goal of economically efficient and sustainable operations, the Fund follows best international practices in environmental, social and corporate governance issues (ESG factors) in the projects receiving financial support from the Fund, with the aim of developing responsible investment practices in accordance with the main international standards in this area - the United Nations Principles for Responsible Investment and the Equator Principles.</w:t>
      </w:r>
    </w:p>
    <w:p w14:paraId="71EB79D5" w14:textId="77777777" w:rsidR="000C7BFA" w:rsidRPr="00CD5E54" w:rsidRDefault="001A5864" w:rsidP="00FA35E2">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The Fund views the use of international sustainability standards as a necessary condition for ensuring its activities comply with international best practices and achieving its sustainability goals and objectives. Damu Fund remains committed to international sustainability standards and continues to integrate ESG elements into its operations as part of a balance between economic, social, and environmental objectives. In the current strategic cycle, the primary focus is on achieving macroeconomic benchmarks. ESG instruments are viewed as a supporting element of the decision-making system, contributing to the improvement of the sustainability and quality of projects.</w:t>
      </w:r>
    </w:p>
    <w:p w14:paraId="71ADD497" w14:textId="4AFA73E6" w:rsidR="00926674" w:rsidRPr="00CD5E54" w:rsidRDefault="001A5864"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In order to achieve this strategic goal,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plans to address the following key task:</w:t>
      </w:r>
    </w:p>
    <w:p w14:paraId="34C19A92" w14:textId="77777777" w:rsidR="00926674" w:rsidRPr="00CD5E54" w:rsidRDefault="00926674" w:rsidP="00926674">
      <w:pPr>
        <w:pStyle w:val="af1"/>
        <w:tabs>
          <w:tab w:val="left" w:pos="567"/>
          <w:tab w:val="left" w:pos="709"/>
          <w:tab w:val="left" w:pos="851"/>
        </w:tabs>
        <w:spacing w:after="0" w:line="240" w:lineRule="auto"/>
        <w:ind w:left="426"/>
        <w:jc w:val="both"/>
        <w:rPr>
          <w:rFonts w:ascii="Times New Roman" w:hAnsi="Times New Roman"/>
          <w:sz w:val="24"/>
          <w:szCs w:val="24"/>
          <w:lang w:val="en-US"/>
        </w:rPr>
      </w:pPr>
    </w:p>
    <w:p w14:paraId="0253944E" w14:textId="77777777" w:rsidR="00E84E51" w:rsidRPr="00F95277" w:rsidRDefault="008B250A" w:rsidP="00DB480F">
      <w:pPr>
        <w:tabs>
          <w:tab w:val="left" w:pos="567"/>
          <w:tab w:val="left" w:pos="993"/>
        </w:tabs>
        <w:ind w:firstLine="567"/>
        <w:jc w:val="both"/>
        <w:rPr>
          <w:b/>
          <w:color w:val="auto"/>
          <w:u w:val="single"/>
        </w:rPr>
      </w:pPr>
      <w:r w:rsidRPr="00F95277">
        <w:rPr>
          <w:b/>
          <w:color w:val="auto"/>
          <w:u w:val="single"/>
        </w:rPr>
        <w:t>Improving the sustainability rating</w:t>
      </w:r>
    </w:p>
    <w:p w14:paraId="5B6D2FD4" w14:textId="77777777" w:rsidR="00875AB6" w:rsidRPr="00CD5E54" w:rsidRDefault="008524D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 sustainability rating is a key tool for assessing the effectiveness of a company's ESG integration. Moreover, such a rating aims to identify a company's risks and opportunities to determine its long-term sustainability.</w:t>
      </w:r>
    </w:p>
    <w:p w14:paraId="06D0BA67" w14:textId="25128F7A" w:rsidR="004F39A4" w:rsidRPr="00CD5E54" w:rsidRDefault="00CF399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On January 31, 2025, the international rating agency S&amp;P Global Corporate Sustainability Assessment assigned the Fund a score of "24"</w:t>
      </w:r>
      <w:r w:rsidR="00B17C47">
        <w:rPr>
          <w:rFonts w:ascii="Times New Roman" w:hAnsi="Times New Roman"/>
          <w:sz w:val="24"/>
          <w:szCs w:val="24"/>
          <w:lang w:val="en-US"/>
        </w:rPr>
        <w:t>.</w:t>
      </w:r>
      <w:r w:rsidRPr="00CD5E54">
        <w:rPr>
          <w:rFonts w:ascii="Times New Roman" w:hAnsi="Times New Roman"/>
          <w:sz w:val="24"/>
          <w:szCs w:val="24"/>
          <w:lang w:val="en-US"/>
        </w:rPr>
        <w:t xml:space="preserve"> The average sustainability score for financial institutions in a similar sector in the international ratings is "30."</w:t>
      </w:r>
    </w:p>
    <w:p w14:paraId="108BB87E" w14:textId="77777777" w:rsidR="004F39A4" w:rsidRPr="007D553E" w:rsidRDefault="004F39A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The assessment was conducted based on an analysis of the Damu Fund's sustainability performance for 2023. According to S&amp;P Global, the Fund received 28 points in the Governance &amp; Economic Dimension, 1 point in the Environmental Dimension, and 24 points in the Social Dimension.</w:t>
      </w:r>
    </w:p>
    <w:p w14:paraId="5B3180A7" w14:textId="75E53081" w:rsidR="004F39A4" w:rsidRPr="00CD5E54" w:rsidRDefault="008D765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004F39A4" w:rsidRPr="007D553E">
        <w:rPr>
          <w:rFonts w:ascii="Times New Roman" w:hAnsi="Times New Roman"/>
          <w:sz w:val="24"/>
          <w:szCs w:val="24"/>
        </w:rPr>
        <w:t>At the same time, the agency highly rated the Fund’s business ethics (Business ethics) - 53 points (with an industry average of 40) and customer relations (Customer Relations) - 33 points (with an average of 25).</w:t>
      </w:r>
    </w:p>
    <w:p w14:paraId="1521806E" w14:textId="77777777" w:rsidR="00E84E51" w:rsidRPr="00CD5E54" w:rsidRDefault="00875AB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Within the framework of this Development Strategy of the Fund for a ten-year period, the sustainable development rating is included as the main key indicator of the Fund’s activities in the field of sustainable development.</w:t>
      </w:r>
    </w:p>
    <w:p w14:paraId="4148B5CE" w14:textId="77777777" w:rsidR="008421FE" w:rsidRPr="00CD5E54" w:rsidRDefault="008524D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 high level of assessment contributes to strengthening the company's reputation and enhances its image. In this regard, within the framework of this Development Strategy until 2033, the Damu Fund plans to purposefully develop social, corporate and environmental agendas and improve management practices.</w:t>
      </w:r>
    </w:p>
    <w:p w14:paraId="1D73825E" w14:textId="77777777" w:rsidR="00BA41C5" w:rsidRPr="00CD5E54" w:rsidRDefault="00CF399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results of this work of the Fund will be measured by the following efficiency factors:</w:t>
      </w:r>
    </w:p>
    <w:p w14:paraId="735D2484" w14:textId="733FC8A5" w:rsidR="00BA41C5" w:rsidRPr="00CD5E54" w:rsidRDefault="00BA41C5" w:rsidP="00DB480F">
      <w:pPr>
        <w:tabs>
          <w:tab w:val="left" w:pos="426"/>
          <w:tab w:val="left" w:pos="709"/>
          <w:tab w:val="left" w:pos="851"/>
          <w:tab w:val="left" w:pos="993"/>
        </w:tabs>
        <w:ind w:firstLine="567"/>
        <w:jc w:val="both"/>
        <w:rPr>
          <w:color w:val="auto"/>
          <w:lang w:val="en-US"/>
        </w:rPr>
      </w:pPr>
      <w:r w:rsidRPr="00CD5E54">
        <w:rPr>
          <w:color w:val="auto"/>
          <w:lang w:val="en-US"/>
        </w:rPr>
        <w:tab/>
        <w:t xml:space="preserve">- </w:t>
      </w:r>
      <w:r w:rsidR="00DA7B24" w:rsidRPr="00DA7B24">
        <w:rPr>
          <w:color w:val="auto"/>
          <w:lang w:val="en-US"/>
        </w:rPr>
        <w:t>receiving a rating from an international rating agency by 2033 at a level of at least 43</w:t>
      </w:r>
      <w:r w:rsidR="007A7805" w:rsidRPr="00CD5E54">
        <w:rPr>
          <w:color w:val="auto"/>
          <w:lang w:val="en-US"/>
        </w:rPr>
        <w:t>.</w:t>
      </w:r>
    </w:p>
    <w:p w14:paraId="574ECA06" w14:textId="77777777" w:rsidR="00BA41C5" w:rsidRDefault="00BA41C5">
      <w:pPr>
        <w:ind w:firstLine="426"/>
        <w:jc w:val="both"/>
        <w:rPr>
          <w:color w:val="auto"/>
          <w:lang w:val="kk-KZ"/>
        </w:rPr>
      </w:pPr>
    </w:p>
    <w:p w14:paraId="04A91B94" w14:textId="77777777" w:rsidR="00C96A72" w:rsidRPr="00CD5E54" w:rsidRDefault="00C96A72" w:rsidP="00C96A72">
      <w:pPr>
        <w:ind w:firstLine="426"/>
        <w:jc w:val="center"/>
        <w:rPr>
          <w:b/>
          <w:bCs/>
          <w:color w:val="auto"/>
          <w:lang w:val="en-US"/>
        </w:rPr>
      </w:pPr>
      <w:r w:rsidRPr="00CD5E54">
        <w:rPr>
          <w:b/>
          <w:bCs/>
          <w:color w:val="auto"/>
          <w:lang w:val="en-US"/>
        </w:rPr>
        <w:t>Strategic goal – Digitalization of business processes</w:t>
      </w:r>
    </w:p>
    <w:p w14:paraId="6693B69C" w14:textId="77777777" w:rsidR="00C96A72" w:rsidRDefault="00C96A72" w:rsidP="00C96A72">
      <w:pPr>
        <w:ind w:firstLine="426"/>
        <w:jc w:val="center"/>
        <w:rPr>
          <w:color w:val="auto"/>
          <w:lang w:val="kk-KZ"/>
        </w:rPr>
      </w:pPr>
    </w:p>
    <w:p w14:paraId="4BD16134" w14:textId="77777777" w:rsidR="00C96A72" w:rsidRPr="00CD5E54" w:rsidRDefault="00C96A72" w:rsidP="00DB480F">
      <w:pPr>
        <w:tabs>
          <w:tab w:val="left" w:pos="993"/>
        </w:tabs>
        <w:ind w:firstLine="567"/>
        <w:jc w:val="both"/>
        <w:rPr>
          <w:b/>
          <w:bCs/>
          <w:color w:val="auto"/>
          <w:lang w:val="en-US"/>
        </w:rPr>
      </w:pPr>
      <w:r w:rsidRPr="00CD5E54">
        <w:rPr>
          <w:b/>
          <w:bCs/>
          <w:color w:val="auto"/>
          <w:lang w:val="en-US"/>
        </w:rPr>
        <w:t>Large-scale digitalization of the Fund's services</w:t>
      </w:r>
    </w:p>
    <w:p w14:paraId="3A8ADC43" w14:textId="75DF71A5" w:rsidR="00C96A72" w:rsidRPr="00CD5E54"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development of information technology for the digitalization of MSME business processes is also a priority for state policy. In his address to the nation on September 1, 2023, "The Economic Course of a Fair Kazakhstan"</w:t>
      </w:r>
      <w:r w:rsidR="00C37C53">
        <w:rPr>
          <w:rFonts w:ascii="Times New Roman" w:hAnsi="Times New Roman"/>
          <w:sz w:val="24"/>
          <w:szCs w:val="24"/>
          <w:lang w:val="en-US"/>
        </w:rPr>
        <w:t>,</w:t>
      </w:r>
      <w:r w:rsidRPr="00CD5E54">
        <w:rPr>
          <w:rFonts w:ascii="Times New Roman" w:hAnsi="Times New Roman"/>
          <w:sz w:val="24"/>
          <w:szCs w:val="24"/>
          <w:lang w:val="en-US"/>
        </w:rPr>
        <w:t xml:space="preserve"> the Head of State stated that one of the key objectives is to transform Kazakhstan into an IT country. Extensive work is being carried out in this area, focusing on the use of digital technologies and data to deliver public services, which in turn helps public sector organizations better respond to citizens' needs.</w:t>
      </w:r>
    </w:p>
    <w:p w14:paraId="7C30BE0B" w14:textId="77777777" w:rsidR="00C96A72" w:rsidRPr="00CD5E54"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According to the Concept for the Development of Small and Medium-Sized Enterprises in the Republic of Kazakhstan until 2030, increased demand for digitalization has defined a new competitiveness factor. State policy in this area will, on the one hand, maximize interaction with entrepreneurs and businesses using digital platforms, and, on the other, promote the development and expansion of opportunities for entrepreneurship based on platform solutions, while taking into account and protecting the interests of all parties involved. Modern digital technologies will facilitate interaction between citizens and the government in the simplest, fastest, and most transparent manner possible.</w:t>
      </w:r>
    </w:p>
    <w:p w14:paraId="74F7A5AD" w14:textId="77777777" w:rsidR="00C96A72" w:rsidRPr="00CD5E54"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One of the key reforms that could have a positive impact on the growth of medium-sized companies is the creation of a level playing field for SMEs in accessing financial instruments through the use of digital solutions based on transparent and objective ratings and criteria.</w:t>
      </w:r>
    </w:p>
    <w:p w14:paraId="5B9BDD73" w14:textId="77777777" w:rsidR="00C96A72" w:rsidRPr="00CD5E54" w:rsidRDefault="007613C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The Damu Fund strives to make business processes as accessible, convenient, and transparent as possible for entrepreneurs. To achieve this goal, digital technologies have been systematically implemented since 2016. As a result, by 2022, the Fund's digitalization rate reached 100%, allowing entrepreneurs to submit applications online and receive support from the Fund.</w:t>
      </w:r>
    </w:p>
    <w:p w14:paraId="058B6B82" w14:textId="77777777" w:rsidR="00C96A72" w:rsidRPr="00CD5E54"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improve the efficiency of its existing information resources, in 2022 the Fund integrated the single sign-on (SSO) platform with the bgov.kz business support portal (hereinafter referred to as the Portal). The Portal provides information on all micro, small, medium, and large business support programs offered by subsidiaries of Baiterek National Management Holding JSC, and also features a service selector that offers programs tailored to specific requirements. This means entrepreneurs now have quick and convenient access to a comprehensive overview of available programs designed to improve their businesses.</w:t>
      </w:r>
    </w:p>
    <w:p w14:paraId="50A80ED3" w14:textId="77777777" w:rsidR="00C96A72" w:rsidRPr="00CD5E54"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Considering that frontal (core) business processes are the processes of providing products/services to MSME clients, which are the Fund's core activities, work continues on the implementation of the following projects:</w:t>
      </w:r>
    </w:p>
    <w:p w14:paraId="5A4DA21F" w14:textId="77777777" w:rsidR="00C96A72" w:rsidRPr="002445D4" w:rsidRDefault="00C96A72" w:rsidP="0031388A">
      <w:pPr>
        <w:pStyle w:val="af1"/>
        <w:numPr>
          <w:ilvl w:val="0"/>
          <w:numId w:val="6"/>
        </w:numPr>
        <w:tabs>
          <w:tab w:val="left" w:pos="357"/>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As part of the application of artificial intelligence, digitalization of the contact center is planned (planned implementation period 2025-2026):</w:t>
      </w:r>
    </w:p>
    <w:p w14:paraId="6F51678F" w14:textId="77777777" w:rsidR="00C96A72" w:rsidRPr="002445D4"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Voice assistant: The voice assistant is capable of conducting a dialogue similar to human communication. Speech recognition accuracy is 95% or higher. It independently handles routine queries, passing more complex questions to operators.</w:t>
      </w:r>
    </w:p>
    <w:p w14:paraId="20FED329" w14:textId="77777777" w:rsidR="00C96A72" w:rsidRPr="007F4FAF" w:rsidRDefault="007F4FAF"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Automatic callbacks: Long wait times can be a significant source of negative customer feedback. Automatic callbacks allow customers to request a callback from the company when no operators are available or if the wait in line is taking too long. This simple digital call center feature can instantly improve customer service and prevent unnecessary negative feedback.</w:t>
      </w:r>
    </w:p>
    <w:p w14:paraId="6AF78942" w14:textId="77777777" w:rsidR="00C96A72" w:rsidRPr="002445D4"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7F4FAF">
        <w:rPr>
          <w:rFonts w:ascii="Times New Roman" w:hAnsi="Times New Roman"/>
          <w:sz w:val="24"/>
          <w:szCs w:val="24"/>
        </w:rPr>
        <w:t>Interactive Voice Response (IVR): An interactive voice response (or IVR) is a software system that interacts with callers and, depending on the caller's response, performs the required action or provides the necessary information. Implementing an interactive voice response (IVR) can improve customer satisfaction and operator efficiency by automatically routing calls to the appropriate departments.</w:t>
      </w:r>
    </w:p>
    <w:p w14:paraId="3559A01D" w14:textId="77777777" w:rsidR="00C96A72" w:rsidRPr="00CD5E54" w:rsidRDefault="00C96A72" w:rsidP="00C96A72">
      <w:pPr>
        <w:tabs>
          <w:tab w:val="left" w:pos="567"/>
          <w:tab w:val="left" w:pos="709"/>
          <w:tab w:val="left" w:pos="851"/>
        </w:tabs>
        <w:ind w:left="568"/>
        <w:jc w:val="both"/>
        <w:rPr>
          <w:color w:val="auto"/>
          <w:lang w:val="en-US"/>
        </w:rPr>
      </w:pPr>
    </w:p>
    <w:p w14:paraId="4A604B08" w14:textId="16CBEA9D" w:rsidR="00473C06" w:rsidRPr="00CD5E54" w:rsidRDefault="00C96A72" w:rsidP="0031388A">
      <w:pPr>
        <w:pStyle w:val="af1"/>
        <w:numPr>
          <w:ilvl w:val="0"/>
          <w:numId w:val="6"/>
        </w:numPr>
        <w:tabs>
          <w:tab w:val="left" w:pos="357"/>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Robotic Process Automation (RPA) is the application of artificial intelligence technology to configure computer software (robots) to perform and digitalize routine business tasks, process transactions, manage data, and communicate with other systems (planned implementation period: 2025-2026). Within this framework,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plans to implement the following initiatives:</w:t>
      </w:r>
    </w:p>
    <w:p w14:paraId="6B2B4B38" w14:textId="77777777"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eastAsia="Times New Roman"/>
        </w:rPr>
        <w:t xml:space="preserve"> </w:t>
      </w:r>
      <w:r w:rsidRPr="00E91EB4">
        <w:rPr>
          <w:rFonts w:ascii="Times New Roman" w:hAnsi="Times New Roman"/>
          <w:sz w:val="24"/>
          <w:szCs w:val="24"/>
        </w:rPr>
        <w:t>automated generation of reconciliation reports for borrowers with residual liabilities, including robotic verification and mass generation of documents using established templates;</w:t>
      </w:r>
    </w:p>
    <w:p w14:paraId="76F190F6" w14:textId="77777777"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setting up reconciliation of actually transferred subsidies with cash flow schedules, automatic detection of deviations and generation of corresponding orders and reconciliation reports;</w:t>
      </w:r>
    </w:p>
    <w:p w14:paraId="2C5323AE" w14:textId="77777777"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modernization of the electronic reconciliation log with the implementation of automatic data migration, a system of notifications about overdue payments, and analytics on unsigned acts;</w:t>
      </w:r>
    </w:p>
    <w:p w14:paraId="0C8C9CDC" w14:textId="77777777"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the introduction of electronic signing of reconciliation reports with local executive bodies and the authorized state body (local executive bodies and the Ministry of National Economy) through electronic document management systems (EDMS), which will significantly reduce the timeframe and eliminate paper document management;</w:t>
      </w:r>
    </w:p>
    <w:p w14:paraId="096A64D0" w14:textId="77777777"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unification and automation of reporting collection on end borrowers within the framework of programmatic financing implemented through second-tier banks.</w:t>
      </w:r>
    </w:p>
    <w:p w14:paraId="51AA3E94" w14:textId="77777777" w:rsidR="00D33090" w:rsidRPr="00D33090" w:rsidRDefault="00473C06" w:rsidP="00E91EB4">
      <w:pPr>
        <w:tabs>
          <w:tab w:val="left" w:pos="357"/>
          <w:tab w:val="left" w:pos="851"/>
          <w:tab w:val="left" w:pos="993"/>
        </w:tabs>
        <w:ind w:left="360"/>
        <w:jc w:val="both"/>
        <w:rPr>
          <w:color w:val="auto"/>
        </w:rPr>
      </w:pPr>
      <w:r w:rsidRPr="00E91EB4">
        <w:t>.</w:t>
      </w:r>
    </w:p>
    <w:p w14:paraId="0B2F8464" w14:textId="77777777" w:rsidR="00C96A72" w:rsidRDefault="008D7CAB" w:rsidP="0031388A">
      <w:pPr>
        <w:pStyle w:val="af1"/>
        <w:numPr>
          <w:ilvl w:val="0"/>
          <w:numId w:val="6"/>
        </w:numPr>
        <w:tabs>
          <w:tab w:val="left" w:pos="357"/>
          <w:tab w:val="left" w:pos="567"/>
          <w:tab w:val="left" w:pos="709"/>
          <w:tab w:val="left" w:pos="851"/>
        </w:tabs>
        <w:spacing w:after="0" w:line="240" w:lineRule="auto"/>
        <w:ind w:left="0" w:firstLine="567"/>
        <w:jc w:val="both"/>
        <w:rPr>
          <w:rFonts w:ascii="Times New Roman" w:hAnsi="Times New Roman"/>
          <w:sz w:val="24"/>
          <w:szCs w:val="24"/>
        </w:rPr>
      </w:pPr>
      <w:r w:rsidRPr="008D7CAB">
        <w:rPr>
          <w:rFonts w:ascii="Times New Roman" w:hAnsi="Times New Roman"/>
          <w:sz w:val="24"/>
          <w:szCs w:val="24"/>
        </w:rPr>
        <w:t>Creating a website for distance learning for entrepreneurs, which will be aimed at:</w:t>
      </w:r>
    </w:p>
    <w:p w14:paraId="38F6B4E3" w14:textId="77777777" w:rsidR="007D2CE8" w:rsidRPr="00D33090" w:rsidRDefault="007D2CE8"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attracting entrepreneurs to participate in support programs through online training;</w:t>
      </w:r>
    </w:p>
    <w:p w14:paraId="6B864A05" w14:textId="77777777" w:rsidR="007D2CE8" w:rsidRPr="00D33090" w:rsidRDefault="007D2CE8"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improving the qualifications of small and medium-sized businesses in the areas of financial literacy, marketing, etc.;</w:t>
      </w:r>
    </w:p>
    <w:p w14:paraId="19D28EB1" w14:textId="77777777" w:rsidR="008D7CAB" w:rsidRPr="00D33090" w:rsidRDefault="008D7CAB"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lastRenderedPageBreak/>
        <w:t>Developing entrepreneurial skills and adapting businesses to modern economic conditions through access to high-quality educational materials.</w:t>
      </w:r>
    </w:p>
    <w:p w14:paraId="3DB8CCEE" w14:textId="77777777" w:rsidR="00C96A72" w:rsidRPr="00CD5E54" w:rsidRDefault="008D7CAB" w:rsidP="008F4C64">
      <w:pPr>
        <w:ind w:firstLine="567"/>
        <w:jc w:val="both"/>
        <w:rPr>
          <w:lang w:val="en-US"/>
        </w:rPr>
      </w:pPr>
      <w:r w:rsidRPr="00CD5E54">
        <w:rPr>
          <w:lang w:val="en-US"/>
        </w:rPr>
        <w:t>Additionally, your website will become part of a unified digital ecosystem, ensuring data reliability and security and maximum convenience for entrepreneurs.</w:t>
      </w:r>
    </w:p>
    <w:p w14:paraId="759A9BE0" w14:textId="77777777" w:rsidR="008D7CAB" w:rsidRPr="00CD5E54" w:rsidRDefault="008D7CAB" w:rsidP="00412007">
      <w:pPr>
        <w:ind w:firstLine="567"/>
        <w:jc w:val="both"/>
        <w:rPr>
          <w:lang w:val="en-US"/>
        </w:rPr>
      </w:pPr>
    </w:p>
    <w:p w14:paraId="475AE346" w14:textId="77777777" w:rsidR="00C96A72" w:rsidRPr="002445D4" w:rsidRDefault="00C96A72" w:rsidP="0031388A">
      <w:pPr>
        <w:pStyle w:val="af1"/>
        <w:numPr>
          <w:ilvl w:val="0"/>
          <w:numId w:val="6"/>
        </w:numPr>
        <w:tabs>
          <w:tab w:val="left" w:pos="357"/>
          <w:tab w:val="left" w:pos="851"/>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Development of the Corporate Data Warehouse – Analytical Center, in particular the implementation of the following tools:</w:t>
      </w:r>
    </w:p>
    <w:p w14:paraId="04CDDADC" w14:textId="77777777" w:rsidR="00071FFA"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Master Data Management: This will be used to ensure the consistency, accuracy, and completeness of data in the warehouse. It will provide a centralized way to manage core data entities, such as customer, product, or employee data. This helps reduce duplication and improve data quality, as well as enhance the reliability of reporting and analytics. Planned implementation period: Q1 2026 – Q4 2026.</w:t>
      </w:r>
    </w:p>
    <w:p w14:paraId="6851E902" w14:textId="77777777" w:rsidR="00071FFA"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Data Catalog: This will be used to improve search and access to data in the warehouse. It provides metadata and context for data, helping users more easily find and understand the data they are looking for. It also helps maintain data consistency and governance. Planned implementation period: 2026-2027.</w:t>
      </w:r>
    </w:p>
    <w:p w14:paraId="2964EFAF" w14:textId="77777777" w:rsidR="00C96A72"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Advanced analytics: The use of machine learning and artificial intelligence will enable deeper analysis of data in the warehouse. These technologies can help uncover hidden patterns and relationships in data, predict future trends and behavior, and digitize complex analytical tasks. Planned implementation period: 2026-2027.</w:t>
      </w:r>
    </w:p>
    <w:p w14:paraId="204BCD04" w14:textId="77777777" w:rsidR="00C96A72" w:rsidRPr="001F748C" w:rsidRDefault="00C96A72" w:rsidP="00C96A72">
      <w:pPr>
        <w:pStyle w:val="af1"/>
        <w:spacing w:after="0" w:line="240" w:lineRule="auto"/>
        <w:ind w:left="714"/>
        <w:jc w:val="both"/>
        <w:rPr>
          <w:rFonts w:ascii="Times New Roman" w:hAnsi="Times New Roman"/>
          <w:sz w:val="24"/>
          <w:szCs w:val="24"/>
          <w:lang w:val="ru-RU"/>
        </w:rPr>
      </w:pPr>
    </w:p>
    <w:p w14:paraId="1704CE06" w14:textId="77777777" w:rsidR="00424512" w:rsidRDefault="00071FFA" w:rsidP="0031388A">
      <w:pPr>
        <w:pStyle w:val="af1"/>
        <w:numPr>
          <w:ilvl w:val="0"/>
          <w:numId w:val="6"/>
        </w:numPr>
        <w:tabs>
          <w:tab w:val="left" w:pos="357"/>
          <w:tab w:val="left" w:pos="851"/>
        </w:tabs>
        <w:spacing w:after="0" w:line="240" w:lineRule="auto"/>
        <w:ind w:left="0" w:firstLine="567"/>
        <w:jc w:val="both"/>
        <w:rPr>
          <w:rFonts w:ascii="Times New Roman" w:hAnsi="Times New Roman"/>
          <w:sz w:val="24"/>
          <w:szCs w:val="24"/>
        </w:rPr>
      </w:pPr>
      <w:r w:rsidRPr="00071FFA">
        <w:rPr>
          <w:rFonts w:ascii="Times New Roman" w:hAnsi="Times New Roman"/>
          <w:sz w:val="24"/>
          <w:szCs w:val="24"/>
        </w:rPr>
        <w:t>Kazakhstan has created some of the best conditions for government-business interaction, thanks to e-government services and a high-quality telecommunications environment. The integration of the Fund's information systems with government databases will open up broad opportunities for more rapid access to information on private businesses. As a result, applications will be reviewed significantly faster, and decisions will be made based on the most up-to-date and complete data, which will ultimately improve the effectiveness of state support.</w:t>
      </w:r>
    </w:p>
    <w:p w14:paraId="2E607F2B" w14:textId="77777777" w:rsidR="00081A41" w:rsidRPr="00071FFA" w:rsidRDefault="00071FFA" w:rsidP="00424512">
      <w:pPr>
        <w:pStyle w:val="af1"/>
        <w:tabs>
          <w:tab w:val="left" w:pos="357"/>
          <w:tab w:val="left" w:pos="851"/>
        </w:tabs>
        <w:spacing w:after="0" w:line="240" w:lineRule="auto"/>
        <w:ind w:left="0" w:firstLine="567"/>
        <w:jc w:val="both"/>
        <w:rPr>
          <w:rFonts w:ascii="Times New Roman" w:hAnsi="Times New Roman"/>
          <w:sz w:val="24"/>
          <w:szCs w:val="24"/>
        </w:rPr>
      </w:pPr>
      <w:r w:rsidRPr="00071FFA">
        <w:rPr>
          <w:rFonts w:ascii="Times New Roman" w:hAnsi="Times New Roman"/>
          <w:sz w:val="24"/>
          <w:szCs w:val="24"/>
        </w:rPr>
        <w:t>The use of government services will improve the reliability and relevance of data used in providing comprehensive support measures to MSMEs and simplify and expedite the monitoring of supported projects. The Fund will be able to quickly track and evaluate their progress and promptly respond to emerging issues or changes. Planned implementation period: 2025-2026.</w:t>
      </w:r>
    </w:p>
    <w:p w14:paraId="46FB56EF" w14:textId="77777777" w:rsidR="00C96A72" w:rsidRPr="002445D4" w:rsidRDefault="00C96A72" w:rsidP="00081A41">
      <w:pPr>
        <w:tabs>
          <w:tab w:val="left" w:pos="567"/>
          <w:tab w:val="left" w:pos="709"/>
          <w:tab w:val="left" w:pos="851"/>
          <w:tab w:val="left" w:pos="1134"/>
        </w:tabs>
        <w:ind w:firstLine="567"/>
        <w:jc w:val="both"/>
        <w:rPr>
          <w:color w:val="auto"/>
        </w:rPr>
      </w:pPr>
    </w:p>
    <w:p w14:paraId="3342DF26" w14:textId="77777777" w:rsidR="00C96A72" w:rsidRPr="002445D4" w:rsidRDefault="00412007" w:rsidP="0031388A">
      <w:pPr>
        <w:pStyle w:val="af1"/>
        <w:numPr>
          <w:ilvl w:val="0"/>
          <w:numId w:val="6"/>
        </w:numPr>
        <w:tabs>
          <w:tab w:val="left" w:pos="357"/>
          <w:tab w:val="left" w:pos="851"/>
          <w:tab w:val="left" w:pos="1134"/>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 xml:space="preserve">Digitalization of financial reporting, as part of developing analytical competencies. </w:t>
      </w:r>
      <w:r>
        <w:rPr>
          <w:rFonts w:ascii="Times New Roman" w:hAnsi="Times New Roman"/>
          <w:sz w:val="24"/>
          <w:szCs w:val="24"/>
          <w:lang w:val="ru-RU"/>
        </w:rPr>
        <w:t>Key effects of digitalization:</w:t>
      </w:r>
    </w:p>
    <w:p w14:paraId="277783DB"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Increased efficiency: The time it takes to collect, analyze, and present data will be reduced, freeing up staff time to perform more complex and analytical tasks.</w:t>
      </w:r>
    </w:p>
    <w:p w14:paraId="2F0A343D"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Reduced errors: The risk of human error will be minimized, which will reduce the likelihood of errors in reports and increase their accuracy.</w:t>
      </w:r>
    </w:p>
    <w:p w14:paraId="3582CD2C"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Improved transparency: Auditing financial data will become easier, improving transparency for all stakeholders, including management, investors and regulators.</w:t>
      </w:r>
    </w:p>
    <w:p w14:paraId="7605CF9F"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Increased scalability: The reporting process becomes easily scalable. As the company grows and the volume of data to process increases, digitalized systems can quickly adapt to meet new needs.</w:t>
      </w:r>
    </w:p>
    <w:p w14:paraId="57FB0145"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Compliance: Modern financial reporting software is typically updated to meet new financial standards and regulatory requirements, helping a company stay compliant with current requirements.</w:t>
      </w:r>
    </w:p>
    <w:p w14:paraId="536C8D4E" w14:textId="77777777" w:rsidR="00C96A72" w:rsidRPr="00CD5E54" w:rsidRDefault="00C96A72" w:rsidP="00DB480F">
      <w:pPr>
        <w:tabs>
          <w:tab w:val="left" w:pos="567"/>
          <w:tab w:val="left" w:pos="709"/>
          <w:tab w:val="left" w:pos="851"/>
          <w:tab w:val="left" w:pos="1134"/>
        </w:tabs>
        <w:ind w:firstLine="567"/>
        <w:jc w:val="both"/>
        <w:rPr>
          <w:i/>
          <w:color w:val="auto"/>
          <w:lang w:val="en-US"/>
        </w:rPr>
      </w:pPr>
    </w:p>
    <w:p w14:paraId="0675CFFE" w14:textId="77777777" w:rsidR="006F3CCE" w:rsidRPr="00CD5E54" w:rsidRDefault="00C96A72" w:rsidP="0031388A">
      <w:pPr>
        <w:pStyle w:val="af1"/>
        <w:numPr>
          <w:ilvl w:val="0"/>
          <w:numId w:val="6"/>
        </w:numPr>
        <w:tabs>
          <w:tab w:val="left" w:pos="357"/>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b/>
      </w:r>
      <w:r w:rsidR="0084681C" w:rsidRPr="00CD5E54">
        <w:rPr>
          <w:rFonts w:ascii="Times New Roman" w:hAnsi="Times New Roman"/>
          <w:sz w:val="24"/>
          <w:szCs w:val="24"/>
          <w:lang w:val="en-US"/>
        </w:rPr>
        <w:t>Development and implementation of the "Integration Bus." The system is designed to facilitate integration between various information systems (both government and non-government). The "Integration Bus" will facilitate the receipt of data via synchronous and asynchronous services, enable the Fund to develop a digital ecosystem, and accelerate the processing and exchange of data related to government support and monitoring, which is necessary for assessing recipients (individuals and legal entities) of government support measures.</w:t>
      </w:r>
    </w:p>
    <w:p w14:paraId="70B8F0E7" w14:textId="77777777" w:rsidR="00406DBB" w:rsidRPr="00CD5E54" w:rsidRDefault="0084681C" w:rsidP="00100077">
      <w:pPr>
        <w:tabs>
          <w:tab w:val="left" w:pos="357"/>
          <w:tab w:val="left" w:pos="851"/>
          <w:tab w:val="left" w:pos="1134"/>
        </w:tabs>
        <w:ind w:firstLine="567"/>
        <w:jc w:val="both"/>
        <w:rPr>
          <w:lang w:val="en-US"/>
        </w:rPr>
      </w:pPr>
      <w:r w:rsidRPr="00CD5E54">
        <w:rPr>
          <w:lang w:val="en-US"/>
        </w:rPr>
        <w:lastRenderedPageBreak/>
        <w:t>A key element is integration with information systems and databases of government agencies, as well as with commercial banks, to obtain information, eliminating time delays and reducing the likelihood of errors.</w:t>
      </w:r>
    </w:p>
    <w:p w14:paraId="01FEBF83" w14:textId="77777777" w:rsidR="00C96A72" w:rsidRPr="00CD5E54" w:rsidRDefault="0084681C" w:rsidP="00100077">
      <w:pPr>
        <w:tabs>
          <w:tab w:val="left" w:pos="357"/>
          <w:tab w:val="left" w:pos="851"/>
          <w:tab w:val="left" w:pos="1134"/>
        </w:tabs>
        <w:ind w:firstLine="567"/>
        <w:jc w:val="both"/>
        <w:rPr>
          <w:lang w:val="en-US"/>
        </w:rPr>
      </w:pPr>
      <w:r w:rsidRPr="00CD5E54">
        <w:rPr>
          <w:lang w:val="en-US"/>
        </w:rPr>
        <w:t>The Integration Bus will also publish the Fund's services for transmitting data on state support measures, including for second-tier banks in terms of processing applications, notifications, loan information, payment schedules, etc.</w:t>
      </w:r>
    </w:p>
    <w:p w14:paraId="2505C627" w14:textId="77777777" w:rsidR="00240D4F" w:rsidRPr="00CD5E54" w:rsidRDefault="00240D4F" w:rsidP="00240D4F">
      <w:pPr>
        <w:pStyle w:val="pji"/>
        <w:spacing w:before="0" w:beforeAutospacing="0" w:after="0" w:afterAutospacing="0"/>
        <w:ind w:firstLine="567"/>
        <w:jc w:val="both"/>
        <w:rPr>
          <w:lang w:val="en-US"/>
        </w:rPr>
      </w:pPr>
    </w:p>
    <w:p w14:paraId="698F9D89" w14:textId="77777777"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excluded.</w:t>
      </w:r>
    </w:p>
    <w:p w14:paraId="459B79AB" w14:textId="77777777"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excluded.</w:t>
      </w:r>
    </w:p>
    <w:p w14:paraId="78977A59" w14:textId="77777777"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excluded.</w:t>
      </w:r>
    </w:p>
    <w:p w14:paraId="663D9161" w14:textId="77777777" w:rsidR="00B1648E" w:rsidRPr="00CD5E54" w:rsidRDefault="00B1648E" w:rsidP="00B1648E">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161-1. In order to automate/optimize the monitoring processes of projects financed under the Fund's programs, as well as to improve the efficiency of monitoring, a transition to 100% coverage of project monitoring is envisaged through the following measures:</w:t>
      </w:r>
    </w:p>
    <w:p w14:paraId="62FF2967"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integration with external government systems;</w:t>
      </w:r>
    </w:p>
    <w:p w14:paraId="71E43539"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robotization of the monitoring process through the use of AI;</w:t>
      </w:r>
      <w:bookmarkStart w:id="19" w:name="_Hlk203055481"/>
    </w:p>
    <w:p w14:paraId="5ADABF9F"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complete transition of monitoring to a digital format in the Fund's Information System.</w:t>
      </w:r>
      <w:bookmarkEnd w:id="19"/>
    </w:p>
    <w:p w14:paraId="14F6109B" w14:textId="77777777" w:rsidR="00B1648E" w:rsidRPr="00CD5E54" w:rsidRDefault="00B1648E" w:rsidP="00B1648E">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These measures will ensure full monitoring coverage of all projects implemented within the Fund's programs, increase transparency and accuracy of audits, automate and digitalize processes, reduce the risk of misuse, and eliminate manual operations to speed up project analysis.</w:t>
      </w:r>
    </w:p>
    <w:p w14:paraId="3EE7B59E" w14:textId="77777777" w:rsidR="00B1648E" w:rsidRPr="00CD5E54" w:rsidRDefault="00B1648E" w:rsidP="00B1648E">
      <w:pPr>
        <w:pStyle w:val="af1"/>
        <w:tabs>
          <w:tab w:val="left" w:pos="0"/>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161-2. In order to improve the accuracy of risk assessment of payments under the Fund's guarantees, it is planned to introduce a payment forecasting system using artificial intelligence technologies by:</w:t>
      </w:r>
    </w:p>
    <w:p w14:paraId="5A2F47C9"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automatic ranking of projects according to the probability of payments;</w:t>
      </w:r>
    </w:p>
    <w:p w14:paraId="62E1DE9B"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identifying “risky” projects at an early stage;</w:t>
      </w:r>
    </w:p>
    <w:p w14:paraId="0E25D26E"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B1648E">
        <w:rPr>
          <w:rFonts w:ascii="Times New Roman" w:hAnsi="Times New Roman"/>
          <w:sz w:val="24"/>
          <w:szCs w:val="24"/>
        </w:rPr>
        <w:t>support for management decision-making in order to minimize risks for the Fund;</w:t>
      </w:r>
    </w:p>
    <w:p w14:paraId="5C066B93"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B1648E">
        <w:rPr>
          <w:rFonts w:ascii="Times New Roman" w:hAnsi="Times New Roman"/>
          <w:sz w:val="24"/>
          <w:szCs w:val="24"/>
        </w:rPr>
        <w:t>forecasting the timing and volume of possible payments.</w:t>
      </w:r>
    </w:p>
    <w:p w14:paraId="7D59C748" w14:textId="77777777" w:rsidR="00B1648E" w:rsidRPr="00CD5E54" w:rsidRDefault="00B1648E" w:rsidP="00B1648E">
      <w:pPr>
        <w:tabs>
          <w:tab w:val="left" w:pos="567"/>
          <w:tab w:val="left" w:pos="709"/>
          <w:tab w:val="left" w:pos="851"/>
          <w:tab w:val="left" w:pos="1134"/>
        </w:tabs>
        <w:ind w:firstLine="567"/>
        <w:jc w:val="both"/>
        <w:rPr>
          <w:rFonts w:eastAsia="Calibri"/>
          <w:color w:val="auto"/>
          <w:lang w:val="en-US" w:eastAsia="en-US"/>
        </w:rPr>
      </w:pPr>
      <w:r w:rsidRPr="00CD5E54">
        <w:rPr>
          <w:rFonts w:eastAsia="Calibri"/>
          <w:color w:val="auto"/>
          <w:lang w:val="en-US" w:eastAsia="en-US"/>
        </w:rPr>
        <w:t>The implementation of an AI-based forecasting system will improve the efficiency of guarantee payment risk assessment, reduce payment volumes through preventive actions, and reduce the time and frequency of unexpected creditor claims.</w:t>
      </w:r>
    </w:p>
    <w:p w14:paraId="783F1009" w14:textId="77777777" w:rsidR="00C96A72" w:rsidRPr="00770887" w:rsidRDefault="007D553E"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770887">
        <w:rPr>
          <w:rFonts w:ascii="Times New Roman" w:hAnsi="Times New Roman"/>
          <w:i/>
          <w:sz w:val="24"/>
          <w:szCs w:val="24"/>
          <w:lang w:val="ru-RU"/>
        </w:rPr>
        <w:t>excluded.</w:t>
      </w:r>
    </w:p>
    <w:p w14:paraId="26572547" w14:textId="77777777" w:rsidR="00C96A72" w:rsidRPr="001F748C" w:rsidRDefault="00C96A72">
      <w:pPr>
        <w:ind w:firstLine="426"/>
        <w:jc w:val="both"/>
        <w:rPr>
          <w:color w:val="auto"/>
          <w:lang w:val="kk-KZ"/>
        </w:rPr>
      </w:pPr>
    </w:p>
    <w:p w14:paraId="783DDFF1" w14:textId="77777777" w:rsidR="00F738FC" w:rsidRPr="00CD5E54" w:rsidRDefault="00F738FC" w:rsidP="00F738FC">
      <w:pPr>
        <w:jc w:val="center"/>
        <w:rPr>
          <w:b/>
          <w:bCs/>
          <w:color w:val="auto"/>
          <w:lang w:val="en-US"/>
        </w:rPr>
      </w:pPr>
      <w:r w:rsidRPr="00CD5E54">
        <w:rPr>
          <w:b/>
          <w:bCs/>
          <w:color w:val="auto"/>
          <w:lang w:val="en-US"/>
        </w:rPr>
        <w:t>Strategic goal - Improving the level of corporate governance</w:t>
      </w:r>
    </w:p>
    <w:p w14:paraId="78C527DE" w14:textId="77777777" w:rsidR="001A0787" w:rsidRPr="00CD5E54" w:rsidRDefault="001A0787" w:rsidP="00F738FC">
      <w:pPr>
        <w:jc w:val="center"/>
        <w:rPr>
          <w:b/>
          <w:bCs/>
          <w:color w:val="auto"/>
          <w:lang w:val="en-US"/>
        </w:rPr>
      </w:pPr>
    </w:p>
    <w:p w14:paraId="3E977180" w14:textId="77777777" w:rsidR="000003E3" w:rsidRPr="00CD5E54" w:rsidRDefault="00B2573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 views corporate governance as a means of improving operational efficiency, ensuring transparency and accountability, strengthening reputation, and reducing capital raising costs. The Fund views a proper corporate governance system as a contribution to ensuring the rule of law in the Republic of Kazakhstan and a factor determining the Fund's place in the modern economy and society as a whole. The corporate governance system provides for a clear delineation of powers and responsibilities among the Fund's bodies, officials, and employees.</w:t>
      </w:r>
    </w:p>
    <w:p w14:paraId="52EA0D19" w14:textId="77777777" w:rsidR="000003E3" w:rsidRPr="00CD5E54" w:rsidRDefault="0059211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fundamental principles of corporate governance are:</w:t>
      </w:r>
    </w:p>
    <w:p w14:paraId="78054A80"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principle of separation of powers;</w:t>
      </w:r>
    </w:p>
    <w:p w14:paraId="7E080935"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principle of protecting the rights and interests of the Sole Shareholder;</w:t>
      </w:r>
    </w:p>
    <w:p w14:paraId="15562813"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principle of effective management of the Fund by the Board of Directors and the Management Board;</w:t>
      </w:r>
    </w:p>
    <w:p w14:paraId="254C1115"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principle of sustainable development;</w:t>
      </w:r>
    </w:p>
    <w:p w14:paraId="72382499"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principle of risk management, internal control and internal audit;</w:t>
      </w:r>
    </w:p>
    <w:p w14:paraId="6EE0F6D8" w14:textId="77777777" w:rsidR="000003E3"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the principle of regulating corporate conflicts and conflicts of interest;</w:t>
      </w:r>
    </w:p>
    <w:p w14:paraId="476AA0A6" w14:textId="77777777" w:rsidR="000003E3" w:rsidRPr="00D6329B" w:rsidRDefault="00D6329B"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D6329B">
        <w:rPr>
          <w:rFonts w:ascii="Times New Roman" w:hAnsi="Times New Roman"/>
          <w:sz w:val="24"/>
          <w:szCs w:val="24"/>
        </w:rPr>
        <w:t>principles of transparency and objectivity in disclosing information about the Fund's activities.</w:t>
      </w:r>
    </w:p>
    <w:p w14:paraId="60A1D499" w14:textId="77777777" w:rsidR="00777DFC" w:rsidRPr="001F748C" w:rsidRDefault="00B2573D"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t>The highest body is the sole shareholder, the management body is the Board of Directors, the executive body is the Management Board.</w:t>
      </w:r>
    </w:p>
    <w:p w14:paraId="3B65D8AF" w14:textId="77777777" w:rsidR="00777DFC" w:rsidRPr="001F748C" w:rsidRDefault="00B2573D"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rPr>
      </w:pPr>
      <w:r w:rsidRPr="00CD5E54">
        <w:rPr>
          <w:rFonts w:ascii="Times New Roman" w:hAnsi="Times New Roman"/>
          <w:sz w:val="24"/>
          <w:szCs w:val="24"/>
          <w:lang w:val="en-US"/>
        </w:rPr>
        <w:lastRenderedPageBreak/>
        <w:t>The corporate governance system of the Damu Fund ensures:</w:t>
      </w:r>
    </w:p>
    <w:p w14:paraId="4D368904"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the presence of a clear management system, delineated powers and decision-making process, and the absence of duplication of functions and processes;</w:t>
      </w:r>
    </w:p>
    <w:p w14:paraId="40333752"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uniform standards, policies and processes, including in terms of defining uniform approaches to planning, monitoring and control, performance assessment and the application of corrective actions;</w:t>
      </w:r>
    </w:p>
    <w:p w14:paraId="07DE089A"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access to quality information;</w:t>
      </w:r>
    </w:p>
    <w:p w14:paraId="6BFCBE2E"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pPr>
      <w:r w:rsidRPr="001F748C">
        <w:rPr>
          <w:rFonts w:ascii="Times New Roman" w:hAnsi="Times New Roman"/>
          <w:sz w:val="24"/>
          <w:szCs w:val="24"/>
        </w:rPr>
        <w:t>proper risk management.</w:t>
      </w:r>
    </w:p>
    <w:p w14:paraId="5A18DA6E" w14:textId="77777777" w:rsidR="00090DC8" w:rsidRPr="001F748C" w:rsidRDefault="00090DC8" w:rsidP="004D65BF">
      <w:pPr>
        <w:tabs>
          <w:tab w:val="left" w:pos="567"/>
          <w:tab w:val="left" w:pos="709"/>
          <w:tab w:val="left" w:pos="851"/>
        </w:tabs>
        <w:jc w:val="both"/>
        <w:rPr>
          <w:i/>
          <w:color w:val="auto"/>
        </w:rPr>
      </w:pPr>
    </w:p>
    <w:p w14:paraId="06808136" w14:textId="5F7A627E" w:rsidR="00090DC8" w:rsidRPr="001F748C" w:rsidRDefault="00C95A7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rPr>
      </w:pPr>
      <w:r w:rsidRPr="00CD5E54">
        <w:rPr>
          <w:rFonts w:ascii="Times New Roman" w:hAnsi="Times New Roman"/>
          <w:sz w:val="24"/>
          <w:szCs w:val="24"/>
          <w:lang w:val="en-US"/>
        </w:rPr>
        <w:t xml:space="preserve">In order to achieve this strategic goal,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plans to address the following key task:</w:t>
      </w:r>
    </w:p>
    <w:p w14:paraId="0AE9A087" w14:textId="77777777" w:rsidR="00F30C01" w:rsidRPr="00CD5E54" w:rsidRDefault="00F30C01" w:rsidP="00090DC8">
      <w:pPr>
        <w:tabs>
          <w:tab w:val="left" w:pos="567"/>
          <w:tab w:val="left" w:pos="709"/>
          <w:tab w:val="left" w:pos="851"/>
        </w:tabs>
        <w:jc w:val="both"/>
        <w:rPr>
          <w:color w:val="auto"/>
          <w:u w:val="single"/>
          <w:lang w:val="en-US"/>
        </w:rPr>
      </w:pPr>
    </w:p>
    <w:p w14:paraId="3FC01F74" w14:textId="77777777" w:rsidR="00090DC8" w:rsidRPr="00CD5E54" w:rsidRDefault="00090DC8" w:rsidP="00D6329B">
      <w:pPr>
        <w:tabs>
          <w:tab w:val="left" w:pos="567"/>
          <w:tab w:val="left" w:pos="709"/>
          <w:tab w:val="left" w:pos="851"/>
          <w:tab w:val="left" w:pos="1134"/>
        </w:tabs>
        <w:ind w:firstLine="567"/>
        <w:jc w:val="both"/>
        <w:rPr>
          <w:b/>
          <w:color w:val="auto"/>
          <w:u w:val="single"/>
          <w:lang w:val="en-US"/>
        </w:rPr>
      </w:pPr>
      <w:r w:rsidRPr="00CD5E54">
        <w:rPr>
          <w:b/>
          <w:color w:val="auto"/>
          <w:u w:val="single"/>
          <w:lang w:val="en-US"/>
        </w:rPr>
        <w:t>Increasing the level of trust and satisfaction of MSMEs with the Fund's activities</w:t>
      </w:r>
    </w:p>
    <w:p w14:paraId="488378C3" w14:textId="77777777" w:rsidR="00090DC8" w:rsidRPr="00CD5E54" w:rsidRDefault="00F95277" w:rsidP="00D6329B">
      <w:pPr>
        <w:tabs>
          <w:tab w:val="left" w:pos="567"/>
          <w:tab w:val="left" w:pos="709"/>
          <w:tab w:val="left" w:pos="851"/>
          <w:tab w:val="left" w:pos="1134"/>
        </w:tabs>
        <w:ind w:firstLine="567"/>
        <w:jc w:val="both"/>
        <w:rPr>
          <w:b/>
          <w:color w:val="auto"/>
          <w:lang w:val="en-US"/>
        </w:rPr>
      </w:pPr>
      <w:r w:rsidRPr="00CD5E54">
        <w:rPr>
          <w:b/>
          <w:color w:val="auto"/>
          <w:lang w:val="en-US"/>
        </w:rPr>
        <w:tab/>
      </w:r>
      <w:r w:rsidR="00090DC8" w:rsidRPr="00CD5E54">
        <w:rPr>
          <w:b/>
          <w:color w:val="auto"/>
          <w:lang w:val="en-US"/>
        </w:rPr>
        <w:t>Ensuring transparency of the Fund's activities</w:t>
      </w:r>
    </w:p>
    <w:p w14:paraId="76BC9F96" w14:textId="77777777" w:rsidR="00090DC8" w:rsidRPr="00CD5E54"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Given the high level of attention paid to the Damu Fund's activities as a quasi-public sector entity, the Fund will ensure a high level of transparency in decision-making regarding the implementation of national projects, as well as certain internal procedures that attract the most attention from external audiences (procurement, hiring, and provision of financial and non-financial support instruments). To achieve this goal, it is planned to utilize the capabilities of modern information technology and traditional communications.</w:t>
      </w:r>
    </w:p>
    <w:p w14:paraId="3D433A06" w14:textId="77777777" w:rsidR="00090DC8" w:rsidRPr="00CD5E54"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is continuously working to improve its corporate governance within the framework of a unified policy defined by the Sole Shareholder, aimed at enhancing the Fund's attractiveness to potential investors, increasing its long-term value, and reducing the cost of borrowed capital. Increased transparency will enhance trust in the Fund's operations and will positively impact the Fund's ability to attract external funding and its cost.</w:t>
      </w:r>
    </w:p>
    <w:p w14:paraId="5715CDAC" w14:textId="6AE9FE46"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CD5E54">
        <w:rPr>
          <w:rFonts w:ascii="Times New Roman" w:hAnsi="Times New Roman"/>
          <w:sz w:val="24"/>
          <w:szCs w:val="24"/>
          <w:lang w:val="en-US"/>
        </w:rPr>
        <w:t xml:space="preserve">In the course of its activities,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influences and is influenced by stakeholders. Stakeholders can have both a positive and negative impact on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's operations, specifically on profitability, sustainable development, reputation and image, and can create or mitigate risks. </w:t>
      </w:r>
      <w:r w:rsidRPr="001F748C">
        <w:rPr>
          <w:rFonts w:ascii="Times New Roman" w:hAnsi="Times New Roman"/>
          <w:sz w:val="24"/>
          <w:szCs w:val="24"/>
          <w:lang w:val="ru-RU"/>
        </w:rPr>
        <w:t xml:space="preserve">The </w:t>
      </w:r>
      <w:r w:rsidR="00A157BD">
        <w:rPr>
          <w:rFonts w:ascii="Times New Roman" w:hAnsi="Times New Roman"/>
          <w:sz w:val="24"/>
          <w:szCs w:val="24"/>
          <w:lang w:val="ru-RU"/>
        </w:rPr>
        <w:t>Fund</w:t>
      </w:r>
      <w:r w:rsidRPr="001F748C">
        <w:rPr>
          <w:rFonts w:ascii="Times New Roman" w:hAnsi="Times New Roman"/>
          <w:sz w:val="24"/>
          <w:szCs w:val="24"/>
          <w:lang w:val="ru-RU"/>
        </w:rPr>
        <w:t xml:space="preserve"> places great importance on appropriate stakeholder engagement.</w:t>
      </w:r>
    </w:p>
    <w:p w14:paraId="7A8022FC" w14:textId="231DF3BD" w:rsidR="00090DC8" w:rsidRPr="00CD5E54"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To foster dialogue and long-term collaboration and manage stakeholder relationships,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maps stakeholders, taking risks into account and ranking them based on dependencies (direct or indirect), obligations, situation (with particular attention to high-risk areas), influence, and various perspectives.</w:t>
      </w:r>
    </w:p>
    <w:p w14:paraId="20CB2625" w14:textId="77777777" w:rsidR="00090DC8" w:rsidRPr="00CD5E54"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accordance with the current legislation of the Republic of Kazakhstan on joint-stock companies, the Fund will strive to disclose up-to-date information about its activities, financial condition, credit and dividend policies, development prospects, and other matters. Increasing transparency is also necessary to enhance stakeholder confidence in the Fund's activities.</w:t>
      </w:r>
    </w:p>
    <w:p w14:paraId="2C831204" w14:textId="77777777" w:rsidR="00090DC8" w:rsidRPr="00CD5E54"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ensure information openness and transparency of the Fund's activities, as well as to increase its investment attractiveness, the following comprehensive communication tools are used:</w:t>
      </w:r>
    </w:p>
    <w:p w14:paraId="3B56DC40" w14:textId="77777777" w:rsidR="00090DC8" w:rsidRPr="00CD5E54" w:rsidRDefault="00090DC8" w:rsidP="00D6329B">
      <w:pPr>
        <w:tabs>
          <w:tab w:val="left" w:pos="1134"/>
        </w:tabs>
        <w:ind w:firstLine="567"/>
        <w:jc w:val="both"/>
        <w:rPr>
          <w:color w:val="auto"/>
          <w:lang w:val="en-US"/>
        </w:rPr>
      </w:pPr>
      <w:r w:rsidRPr="00CD5E54">
        <w:rPr>
          <w:color w:val="auto"/>
          <w:lang w:val="en-US"/>
        </w:rPr>
        <w:t>1) Marketing tools:</w:t>
      </w:r>
    </w:p>
    <w:p w14:paraId="0E4C50F4" w14:textId="77777777" w:rsidR="00090DC8" w:rsidRPr="00CD5E54" w:rsidRDefault="00090DC8" w:rsidP="00D6329B">
      <w:pPr>
        <w:ind w:firstLine="567"/>
        <w:jc w:val="both"/>
        <w:rPr>
          <w:color w:val="auto"/>
          <w:lang w:val="en-US"/>
        </w:rPr>
      </w:pPr>
      <w:r w:rsidRPr="00CD5E54">
        <w:rPr>
          <w:color w:val="auto"/>
          <w:lang w:val="en-US"/>
        </w:rPr>
        <w:t>• conducting marketing research;</w:t>
      </w:r>
    </w:p>
    <w:p w14:paraId="20CA61FB" w14:textId="0969612A" w:rsidR="00090DC8" w:rsidRPr="00CD5E54" w:rsidRDefault="00090DC8" w:rsidP="00D6329B">
      <w:pPr>
        <w:ind w:firstLine="567"/>
        <w:jc w:val="both"/>
        <w:rPr>
          <w:color w:val="auto"/>
          <w:lang w:val="en-US"/>
        </w:rPr>
      </w:pPr>
      <w:r w:rsidRPr="00CD5E54">
        <w:rPr>
          <w:color w:val="auto"/>
          <w:lang w:val="en-US"/>
        </w:rPr>
        <w:t xml:space="preserve">• </w:t>
      </w:r>
      <w:r w:rsidR="00E90B98" w:rsidRPr="00E90B98">
        <w:rPr>
          <w:color w:val="auto"/>
          <w:lang w:val="en-US"/>
        </w:rPr>
        <w:t>study of the needs of MSMEs that have received state support</w:t>
      </w:r>
      <w:r w:rsidRPr="00CD5E54">
        <w:rPr>
          <w:color w:val="auto"/>
          <w:lang w:val="en-US"/>
        </w:rPr>
        <w:t>;</w:t>
      </w:r>
    </w:p>
    <w:p w14:paraId="0F1D9CA6" w14:textId="77777777" w:rsidR="00090DC8" w:rsidRPr="00CD5E54" w:rsidRDefault="00090DC8" w:rsidP="00D6329B">
      <w:pPr>
        <w:ind w:firstLine="567"/>
        <w:jc w:val="both"/>
        <w:rPr>
          <w:color w:val="auto"/>
          <w:lang w:val="en-US"/>
        </w:rPr>
      </w:pPr>
      <w:r w:rsidRPr="00CD5E54">
        <w:rPr>
          <w:color w:val="auto"/>
          <w:lang w:val="en-US"/>
        </w:rPr>
        <w:t>2) PR tools:</w:t>
      </w:r>
    </w:p>
    <w:p w14:paraId="7E0F4433" w14:textId="77777777" w:rsidR="00090DC8" w:rsidRPr="00CD5E54" w:rsidRDefault="00090DC8" w:rsidP="00D6329B">
      <w:pPr>
        <w:ind w:firstLine="567"/>
        <w:jc w:val="both"/>
        <w:rPr>
          <w:color w:val="auto"/>
          <w:lang w:val="en-US"/>
        </w:rPr>
      </w:pPr>
      <w:r w:rsidRPr="00CD5E54">
        <w:rPr>
          <w:color w:val="auto"/>
          <w:lang w:val="en-US"/>
        </w:rPr>
        <w:t>• work with the media;</w:t>
      </w:r>
    </w:p>
    <w:p w14:paraId="2AB845B3" w14:textId="77777777" w:rsidR="00090DC8" w:rsidRPr="00CD5E54" w:rsidRDefault="00090DC8" w:rsidP="00D6329B">
      <w:pPr>
        <w:ind w:firstLine="567"/>
        <w:jc w:val="both"/>
        <w:rPr>
          <w:color w:val="auto"/>
          <w:lang w:val="en-US"/>
        </w:rPr>
      </w:pPr>
      <w:r w:rsidRPr="00CD5E54">
        <w:rPr>
          <w:color w:val="auto"/>
          <w:lang w:val="en-US"/>
        </w:rPr>
        <w:t>• specialized events;</w:t>
      </w:r>
    </w:p>
    <w:p w14:paraId="7A56B087" w14:textId="77777777" w:rsidR="00090DC8" w:rsidRPr="00CD5E54" w:rsidRDefault="00090DC8" w:rsidP="00D6329B">
      <w:pPr>
        <w:ind w:firstLine="567"/>
        <w:jc w:val="both"/>
        <w:rPr>
          <w:color w:val="auto"/>
          <w:lang w:val="en-US"/>
        </w:rPr>
      </w:pPr>
      <w:r w:rsidRPr="00CD5E54">
        <w:rPr>
          <w:color w:val="auto"/>
          <w:lang w:val="en-US"/>
        </w:rPr>
        <w:t>• media monitoring;</w:t>
      </w:r>
    </w:p>
    <w:p w14:paraId="6ABF1657" w14:textId="77777777" w:rsidR="00090DC8" w:rsidRPr="00CD5E54" w:rsidRDefault="00090DC8" w:rsidP="00D6329B">
      <w:pPr>
        <w:ind w:firstLine="567"/>
        <w:jc w:val="both"/>
        <w:rPr>
          <w:color w:val="auto"/>
          <w:lang w:val="en-US"/>
        </w:rPr>
      </w:pPr>
      <w:r w:rsidRPr="00CD5E54">
        <w:rPr>
          <w:color w:val="auto"/>
          <w:lang w:val="en-US"/>
        </w:rPr>
        <w:t>• corporate website;</w:t>
      </w:r>
    </w:p>
    <w:p w14:paraId="3FC8E5A4" w14:textId="77777777" w:rsidR="00090DC8" w:rsidRPr="00CD5E54" w:rsidRDefault="00090DC8" w:rsidP="00D6329B">
      <w:pPr>
        <w:ind w:firstLine="567"/>
        <w:jc w:val="both"/>
        <w:rPr>
          <w:color w:val="auto"/>
          <w:lang w:val="en-US"/>
        </w:rPr>
      </w:pPr>
      <w:r w:rsidRPr="00CD5E54">
        <w:rPr>
          <w:color w:val="auto"/>
          <w:lang w:val="en-US"/>
        </w:rPr>
        <w:t>• social media.</w:t>
      </w:r>
    </w:p>
    <w:p w14:paraId="191E9CD9" w14:textId="77777777" w:rsidR="00090DC8" w:rsidRPr="00CD5E54" w:rsidRDefault="00090DC8" w:rsidP="00D6329B">
      <w:pPr>
        <w:ind w:firstLine="567"/>
        <w:jc w:val="both"/>
        <w:rPr>
          <w:color w:val="auto"/>
          <w:lang w:val="en-US"/>
        </w:rPr>
      </w:pPr>
      <w:r w:rsidRPr="00CD5E54">
        <w:rPr>
          <w:color w:val="auto"/>
          <w:lang w:val="en-US"/>
        </w:rPr>
        <w:t>3) Advertising tools:</w:t>
      </w:r>
    </w:p>
    <w:p w14:paraId="4673E342" w14:textId="77777777" w:rsidR="00090DC8" w:rsidRPr="00CD5E54" w:rsidRDefault="00090DC8" w:rsidP="00D6329B">
      <w:pPr>
        <w:ind w:firstLine="567"/>
        <w:jc w:val="both"/>
        <w:rPr>
          <w:color w:val="auto"/>
          <w:lang w:val="en-US"/>
        </w:rPr>
      </w:pPr>
      <w:r w:rsidRPr="00CD5E54">
        <w:rPr>
          <w:color w:val="auto"/>
          <w:lang w:val="en-US"/>
        </w:rPr>
        <w:t>• outdoor advertising (signs, banners);</w:t>
      </w:r>
    </w:p>
    <w:p w14:paraId="66E23E2E" w14:textId="77777777" w:rsidR="00090DC8" w:rsidRPr="00CD5E54" w:rsidRDefault="00090DC8" w:rsidP="00D6329B">
      <w:pPr>
        <w:ind w:firstLine="567"/>
        <w:jc w:val="both"/>
        <w:rPr>
          <w:color w:val="auto"/>
          <w:lang w:val="en-US"/>
        </w:rPr>
      </w:pPr>
      <w:r w:rsidRPr="00CD5E54">
        <w:rPr>
          <w:color w:val="auto"/>
          <w:lang w:val="en-US"/>
        </w:rPr>
        <w:t>• printed products;</w:t>
      </w:r>
    </w:p>
    <w:p w14:paraId="1078576F" w14:textId="77777777" w:rsidR="00090DC8" w:rsidRPr="00CD5E54" w:rsidRDefault="00090DC8" w:rsidP="00D6329B">
      <w:pPr>
        <w:ind w:firstLine="567"/>
        <w:jc w:val="both"/>
        <w:rPr>
          <w:color w:val="auto"/>
          <w:lang w:val="en-US"/>
        </w:rPr>
      </w:pPr>
      <w:r w:rsidRPr="00CD5E54">
        <w:rPr>
          <w:color w:val="auto"/>
          <w:lang w:val="en-US"/>
        </w:rPr>
        <w:t>• audio-video clips;</w:t>
      </w:r>
    </w:p>
    <w:p w14:paraId="73BF064D" w14:textId="77777777" w:rsidR="00090DC8" w:rsidRPr="00CD5E54" w:rsidRDefault="00090DC8" w:rsidP="00D6329B">
      <w:pPr>
        <w:ind w:firstLine="567"/>
        <w:jc w:val="both"/>
        <w:rPr>
          <w:color w:val="auto"/>
          <w:lang w:val="en-US"/>
        </w:rPr>
      </w:pPr>
      <w:r w:rsidRPr="00CD5E54">
        <w:rPr>
          <w:color w:val="auto"/>
          <w:lang w:val="en-US"/>
        </w:rPr>
        <w:t>• office branding.</w:t>
      </w:r>
    </w:p>
    <w:p w14:paraId="0261B508" w14:textId="0F46012B" w:rsidR="00090DC8" w:rsidRPr="00CD5E54" w:rsidRDefault="00090DC8" w:rsidP="00D6329B">
      <w:pPr>
        <w:ind w:firstLine="567"/>
        <w:jc w:val="both"/>
        <w:rPr>
          <w:color w:val="auto"/>
          <w:lang w:val="en-US"/>
        </w:rPr>
      </w:pPr>
      <w:r w:rsidRPr="00CD5E54">
        <w:rPr>
          <w:color w:val="auto"/>
          <w:lang w:val="en-US"/>
        </w:rPr>
        <w:lastRenderedPageBreak/>
        <w:t xml:space="preserve">4) Information platforms of the </w:t>
      </w:r>
      <w:r w:rsidR="00A157BD">
        <w:rPr>
          <w:color w:val="auto"/>
          <w:lang w:val="en-US"/>
        </w:rPr>
        <w:t>Fund</w:t>
      </w:r>
    </w:p>
    <w:p w14:paraId="796AAD86" w14:textId="77777777"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development of information technology provides the Fund with the opportunity to expand its coverage of target audiences with information, analytical and consulting services, which can be provided remotely using the Internet (online):</w:t>
      </w:r>
    </w:p>
    <w:p w14:paraId="0C8FE1AD" w14:textId="283A5A50" w:rsidR="00090DC8" w:rsidRPr="00CD5E54" w:rsidRDefault="00090DC8" w:rsidP="00D6329B">
      <w:pPr>
        <w:ind w:firstLine="567"/>
        <w:jc w:val="both"/>
        <w:rPr>
          <w:color w:val="auto"/>
          <w:lang w:val="en-US"/>
        </w:rPr>
      </w:pPr>
      <w:r w:rsidRPr="00CD5E54">
        <w:rPr>
          <w:color w:val="auto"/>
          <w:lang w:val="en-US"/>
        </w:rPr>
        <w:t xml:space="preserve">• The </w:t>
      </w:r>
      <w:r w:rsidR="00A157BD">
        <w:rPr>
          <w:color w:val="auto"/>
          <w:lang w:val="en-US"/>
        </w:rPr>
        <w:t>Fund</w:t>
      </w:r>
      <w:r w:rsidRPr="00CD5E54">
        <w:rPr>
          <w:color w:val="auto"/>
          <w:lang w:val="en-US"/>
        </w:rPr>
        <w:t xml:space="preserve">’s social networks (Facebook, Instagram, Telegram, YouTube) are the most popular Internet platform for interaction, exchange of information and content with the Internet audience, a source of providing up-to-date and timely information on the </w:t>
      </w:r>
      <w:r w:rsidR="00A157BD">
        <w:rPr>
          <w:color w:val="auto"/>
          <w:lang w:val="en-US"/>
        </w:rPr>
        <w:t>Fund</w:t>
      </w:r>
      <w:r w:rsidRPr="00CD5E54">
        <w:rPr>
          <w:color w:val="auto"/>
          <w:lang w:val="en-US"/>
        </w:rPr>
        <w:t>’s activities, including programs and measures of state support.</w:t>
      </w:r>
    </w:p>
    <w:p w14:paraId="06D154C9" w14:textId="127F81B1" w:rsidR="00090DC8" w:rsidRPr="00CD5E54" w:rsidRDefault="00090DC8" w:rsidP="00D6329B">
      <w:pPr>
        <w:ind w:firstLine="567"/>
        <w:jc w:val="both"/>
        <w:rPr>
          <w:rFonts w:eastAsia="Calibri"/>
          <w:color w:val="auto"/>
          <w:lang w:val="en-US" w:eastAsia="en-US"/>
        </w:rPr>
      </w:pPr>
      <w:r w:rsidRPr="00CD5E54">
        <w:rPr>
          <w:color w:val="auto"/>
          <w:lang w:val="en-US"/>
        </w:rPr>
        <w:t xml:space="preserve">• </w:t>
      </w:r>
      <w:r w:rsidR="00E90B98" w:rsidRPr="00E90B98">
        <w:rPr>
          <w:color w:val="auto"/>
          <w:lang w:val="en-US"/>
        </w:rPr>
        <w:t>The Fund's corporate website, www.damu.kz, is an important channel of communication and interaction with the population (in particular, MSMEs, customers and partners), as well as a tool for providing various services and services online, with regular updates and content</w:t>
      </w:r>
      <w:r w:rsidRPr="00CD5E54">
        <w:rPr>
          <w:color w:val="auto"/>
          <w:lang w:val="en-US"/>
        </w:rPr>
        <w:t>.</w:t>
      </w:r>
    </w:p>
    <w:p w14:paraId="27AE5992" w14:textId="22832E9F"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To improve the quality of corporate governance,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conducts a corporate governance assessment based on best global practices. The aim of the assessment is to improve corporate governance through a structured and consistent approach to assessing and developing the corporate governance system, based on best global practices.</w:t>
      </w:r>
    </w:p>
    <w:p w14:paraId="66AEF281" w14:textId="77777777" w:rsidR="00090DC8" w:rsidRPr="00CD5E54" w:rsidRDefault="00090DC8" w:rsidP="00090DC8">
      <w:pPr>
        <w:ind w:firstLine="426"/>
        <w:jc w:val="both"/>
        <w:rPr>
          <w:b/>
          <w:bCs/>
          <w:color w:val="auto"/>
          <w:lang w:val="en-US"/>
        </w:rPr>
      </w:pPr>
    </w:p>
    <w:p w14:paraId="609A2F1B" w14:textId="28FAEC15" w:rsidR="00090DC8" w:rsidRPr="00CD5E54" w:rsidRDefault="00090DC8" w:rsidP="00D6329B">
      <w:pPr>
        <w:tabs>
          <w:tab w:val="left" w:pos="1134"/>
        </w:tabs>
        <w:ind w:firstLine="567"/>
        <w:jc w:val="both"/>
        <w:rPr>
          <w:b/>
          <w:bCs/>
          <w:color w:val="auto"/>
          <w:lang w:val="en-US"/>
        </w:rPr>
      </w:pPr>
      <w:r w:rsidRPr="00CD5E54">
        <w:rPr>
          <w:b/>
          <w:bCs/>
          <w:color w:val="auto"/>
          <w:lang w:val="en-US"/>
        </w:rPr>
        <w:t xml:space="preserve">Promotion of the </w:t>
      </w:r>
      <w:r w:rsidR="00A157BD">
        <w:rPr>
          <w:b/>
          <w:bCs/>
          <w:color w:val="auto"/>
          <w:lang w:val="en-US"/>
        </w:rPr>
        <w:t>Fund</w:t>
      </w:r>
      <w:r w:rsidRPr="00CD5E54">
        <w:rPr>
          <w:b/>
          <w:bCs/>
          <w:color w:val="auto"/>
          <w:lang w:val="en-US"/>
        </w:rPr>
        <w:t>’s activities through partner organizations, public organizations and the media (hereinafter</w:t>
      </w:r>
      <w:r w:rsidRPr="00CD5E54">
        <w:rPr>
          <w:b/>
          <w:color w:val="auto"/>
          <w:lang w:val="en-US"/>
        </w:rPr>
        <w:t>- media).</w:t>
      </w:r>
    </w:p>
    <w:p w14:paraId="160DFC66" w14:textId="77777777"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Given the high economic and social significance of the Damu Fund's activities, the Fund will strive to actively inform target audiences about its activities. This will enable citizens and the business community to become involved in the Fund's programs, as well as to purposefully strengthen its business reputation.  </w:t>
      </w:r>
    </w:p>
    <w:p w14:paraId="31988383" w14:textId="5BAFAAD2"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The Fund's communications activities will continue to be carried out in accordance with current trends and best practices. This work will contribute to strengthening public trust in the Shareholder, development institutions, government agencies, and overall government policy in supporting MSMEs. </w:t>
      </w:r>
      <w:r w:rsidR="00E90B98">
        <w:rPr>
          <w:rFonts w:ascii="Times New Roman" w:hAnsi="Times New Roman"/>
          <w:sz w:val="24"/>
          <w:szCs w:val="24"/>
          <w:lang w:val="en-US"/>
        </w:rPr>
        <w:t xml:space="preserve">Goal </w:t>
      </w:r>
      <w:r w:rsidRPr="00CD5E54">
        <w:rPr>
          <w:rFonts w:ascii="Times New Roman" w:hAnsi="Times New Roman"/>
          <w:sz w:val="24"/>
          <w:szCs w:val="24"/>
          <w:lang w:val="en-US"/>
        </w:rPr>
        <w:t>is to establish a strong market position, increase awareness, and create a positive perception of the Fund among a broad audience.</w:t>
      </w:r>
    </w:p>
    <w:p w14:paraId="42FA03BE" w14:textId="4DA68331"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A key factor in increasing target audience trust in the </w:t>
      </w:r>
      <w:r w:rsidR="00A157BD">
        <w:rPr>
          <w:rFonts w:ascii="Times New Roman" w:hAnsi="Times New Roman"/>
          <w:sz w:val="24"/>
          <w:szCs w:val="24"/>
          <w:lang w:val="en-US"/>
        </w:rPr>
        <w:t>Fund</w:t>
      </w:r>
      <w:r w:rsidRPr="00CD5E54">
        <w:rPr>
          <w:rFonts w:ascii="Times New Roman" w:hAnsi="Times New Roman"/>
          <w:sz w:val="24"/>
          <w:szCs w:val="24"/>
          <w:lang w:val="en-US"/>
        </w:rPr>
        <w:t>'s activities will be the choice of forms and methods of public engagement. Established relationships with partner and public organizations, media outlets, and social media engagement will facilitate the effective implementation of key communications objectives.</w:t>
      </w:r>
    </w:p>
    <w:p w14:paraId="0C6E70FC" w14:textId="77777777"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terms of raising awareness of the Fund's activities through partner organizations and the media, the Development Strategy provides for the implementation of the following activities by partner organizations (banks, microfinance organizations, and private companies): issuing joint press releases, signing agreements/memorandums, and interacting with public organizations.</w:t>
      </w:r>
    </w:p>
    <w:p w14:paraId="03F128AD" w14:textId="77777777"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the area of ​​interaction with the media: posting information in the media (Internet portals, TV, radio, printed publications), posting press releases, interviews, analytical materials, advertising and image audio-video materials, infographics, photo galleries from events, coverage of important events/activities, holding open days with coverage in the media.</w:t>
      </w:r>
    </w:p>
    <w:p w14:paraId="55B22001" w14:textId="160F57EA" w:rsidR="00090DC8" w:rsidRPr="00CD5E54"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Social media is a popular promotional tool today. The </w:t>
      </w:r>
      <w:r w:rsidR="00A157BD">
        <w:rPr>
          <w:rFonts w:ascii="Times New Roman" w:hAnsi="Times New Roman"/>
          <w:sz w:val="24"/>
          <w:szCs w:val="24"/>
          <w:lang w:val="en-US"/>
        </w:rPr>
        <w:t>Fund</w:t>
      </w:r>
      <w:r w:rsidRPr="00CD5E54">
        <w:rPr>
          <w:rFonts w:ascii="Times New Roman" w:hAnsi="Times New Roman"/>
          <w:sz w:val="24"/>
          <w:szCs w:val="24"/>
          <w:lang w:val="en-US"/>
        </w:rPr>
        <w:t xml:space="preserve"> is actively promoting posts and publications, photos, informational, advertising, and image-building videos, infographics, highlighting important events and activities, and sharing success stories of MSMEs that have received support.</w:t>
      </w:r>
    </w:p>
    <w:p w14:paraId="2D82B82E" w14:textId="77777777" w:rsidR="00090DC8" w:rsidRPr="00CD5E54" w:rsidRDefault="00090DC8" w:rsidP="004D65BF">
      <w:pPr>
        <w:tabs>
          <w:tab w:val="left" w:pos="567"/>
          <w:tab w:val="left" w:pos="709"/>
          <w:tab w:val="left" w:pos="851"/>
        </w:tabs>
        <w:jc w:val="both"/>
        <w:rPr>
          <w:i/>
          <w:color w:val="auto"/>
          <w:lang w:val="en-US"/>
        </w:rPr>
      </w:pPr>
    </w:p>
    <w:p w14:paraId="0AE0932F" w14:textId="77777777" w:rsidR="001F5172" w:rsidRPr="00F95277" w:rsidRDefault="001F5172" w:rsidP="00D6329B">
      <w:pPr>
        <w:pStyle w:val="af1"/>
        <w:tabs>
          <w:tab w:val="left" w:pos="426"/>
          <w:tab w:val="left" w:pos="1134"/>
        </w:tabs>
        <w:spacing w:after="0" w:line="240" w:lineRule="auto"/>
        <w:ind w:left="0" w:firstLine="567"/>
        <w:jc w:val="both"/>
        <w:rPr>
          <w:rFonts w:ascii="Times New Roman" w:hAnsi="Times New Roman"/>
          <w:b/>
          <w:bCs/>
          <w:sz w:val="24"/>
          <w:szCs w:val="24"/>
        </w:rPr>
      </w:pPr>
      <w:r w:rsidRPr="00CD5E54">
        <w:rPr>
          <w:rFonts w:ascii="Times New Roman" w:hAnsi="Times New Roman"/>
          <w:bCs/>
          <w:i/>
          <w:sz w:val="24"/>
          <w:szCs w:val="24"/>
          <w:lang w:val="en-US"/>
        </w:rPr>
        <w:tab/>
      </w:r>
      <w:r w:rsidRPr="00CD5E54">
        <w:rPr>
          <w:rFonts w:ascii="Times New Roman" w:hAnsi="Times New Roman"/>
          <w:b/>
          <w:bCs/>
          <w:sz w:val="24"/>
          <w:szCs w:val="24"/>
          <w:lang w:val="en-US"/>
        </w:rPr>
        <w:t>Proactive work with regions to promote</w:t>
      </w:r>
      <w:r w:rsidR="007A2C13" w:rsidRPr="00F95277">
        <w:rPr>
          <w:b/>
          <w:iCs/>
        </w:rPr>
        <w:t xml:space="preserve"> </w:t>
      </w:r>
      <w:r w:rsidR="007A2C13" w:rsidRPr="00F95277">
        <w:rPr>
          <w:rFonts w:ascii="Times New Roman" w:hAnsi="Times New Roman"/>
          <w:b/>
          <w:bCs/>
          <w:sz w:val="24"/>
          <w:szCs w:val="24"/>
        </w:rPr>
        <w:t>targeted regional programs</w:t>
      </w:r>
    </w:p>
    <w:p w14:paraId="647B16B6" w14:textId="77777777" w:rsidR="001F5172"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 as the country's leading MSME support institution and the operator of key state and domestic MSME support programs, continues to expand its reach year after year. More and more entrepreneurs in Kazakhstan are seeking financial support from the Fund, and for their convenience, the Fund expanded its branch network in 2022, opening branches in new regions.</w:t>
      </w:r>
    </w:p>
    <w:p w14:paraId="61233D80" w14:textId="77777777" w:rsidR="001F5172"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 2022, a Concept for the Development of Regional Branches of the Damu Fund was developed to develop the Fund's branch network. This concept provides for the development of regional branches of the Fund in 17 regions and 3 cities of national significance.</w:t>
      </w:r>
    </w:p>
    <w:p w14:paraId="1FFB3B3B" w14:textId="77777777" w:rsidR="001F5172"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Due to the vastness and diversity of factors, each region has its own unique characteristics: natural and climatic, geographic, demographic, socio-cultural, transport and logistics, and other factors, which can play a role in shaping the region's economic structure and, consequently, its entrepreneurial base. To organize business support activities, beyond using existing tools, it's not enough to have a detailed knowledge of the region and its strengths and weaknesses. It's also necessary to accurately anticipate expectations and prioritize activities for their full implementation.</w:t>
      </w:r>
    </w:p>
    <w:p w14:paraId="041C1736" w14:textId="56B22191" w:rsidR="001F5172"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Given the country's vast geographic and economic diversity, the individual needs for entrepreneurship development in specific regions are blurred. Consequently, the </w:t>
      </w:r>
      <w:r w:rsidR="00A157BD">
        <w:rPr>
          <w:rFonts w:ascii="Times New Roman" w:hAnsi="Times New Roman"/>
          <w:sz w:val="24"/>
          <w:szCs w:val="24"/>
          <w:lang w:val="en-US"/>
        </w:rPr>
        <w:t>Fund</w:t>
      </w:r>
      <w:r w:rsidRPr="00CD5E54">
        <w:rPr>
          <w:rFonts w:ascii="Times New Roman" w:hAnsi="Times New Roman"/>
          <w:sz w:val="24"/>
          <w:szCs w:val="24"/>
          <w:lang w:val="en-US"/>
        </w:rPr>
        <w:t>, in collaboration with local executive bodies, has developed targeted regional programs, such as "Astana Business," "AstanaZhasStart"</w:t>
      </w:r>
      <w:r w:rsidR="00CC1F04">
        <w:rPr>
          <w:rFonts w:ascii="Times New Roman" w:hAnsi="Times New Roman"/>
          <w:sz w:val="24"/>
          <w:szCs w:val="24"/>
          <w:lang w:val="en-US"/>
        </w:rPr>
        <w:t>,</w:t>
      </w:r>
      <w:r w:rsidRPr="00CD5E54">
        <w:rPr>
          <w:rFonts w:ascii="Times New Roman" w:hAnsi="Times New Roman"/>
          <w:sz w:val="24"/>
          <w:szCs w:val="24"/>
          <w:lang w:val="en-US"/>
        </w:rPr>
        <w:t xml:space="preserve"> and "Astana Start Up" in Astana; "Zhibek Zholy</w:t>
      </w:r>
      <w:r w:rsidR="00CC1F04" w:rsidRPr="00CD5E54">
        <w:rPr>
          <w:rFonts w:ascii="Times New Roman" w:hAnsi="Times New Roman"/>
          <w:sz w:val="24"/>
          <w:szCs w:val="24"/>
          <w:lang w:val="en-US"/>
        </w:rPr>
        <w:t>"</w:t>
      </w:r>
      <w:r w:rsidR="00CC1F04">
        <w:rPr>
          <w:rFonts w:ascii="Times New Roman" w:hAnsi="Times New Roman"/>
          <w:sz w:val="24"/>
          <w:szCs w:val="24"/>
          <w:lang w:val="en-US"/>
        </w:rPr>
        <w:t xml:space="preserve">, </w:t>
      </w:r>
      <w:r w:rsidRPr="00CD5E54">
        <w:rPr>
          <w:rFonts w:ascii="Times New Roman" w:hAnsi="Times New Roman"/>
          <w:sz w:val="24"/>
          <w:szCs w:val="24"/>
          <w:lang w:val="en-US"/>
        </w:rPr>
        <w:t>"Almaty Business" and "Jana Businnes" in Almaty; "Men k</w:t>
      </w:r>
      <w:r w:rsidR="00CC1F04">
        <w:rPr>
          <w:rFonts w:ascii="Times New Roman" w:hAnsi="Times New Roman"/>
          <w:sz w:val="24"/>
          <w:szCs w:val="24"/>
          <w:lang w:val="en-US"/>
        </w:rPr>
        <w:t>a</w:t>
      </w:r>
      <w:r w:rsidRPr="00CD5E54">
        <w:rPr>
          <w:rFonts w:ascii="Times New Roman" w:hAnsi="Times New Roman"/>
          <w:sz w:val="24"/>
          <w:szCs w:val="24"/>
          <w:lang w:val="en-US"/>
        </w:rPr>
        <w:t>s</w:t>
      </w:r>
      <w:r w:rsidRPr="001F748C">
        <w:rPr>
          <w:rFonts w:ascii="Times New Roman" w:hAnsi="Times New Roman"/>
          <w:sz w:val="24"/>
          <w:szCs w:val="24"/>
          <w:lang w:val="ru-RU"/>
        </w:rPr>
        <w:t>і</w:t>
      </w:r>
      <w:r w:rsidRPr="00CD5E54">
        <w:rPr>
          <w:rFonts w:ascii="Times New Roman" w:hAnsi="Times New Roman"/>
          <w:sz w:val="24"/>
          <w:szCs w:val="24"/>
          <w:lang w:val="en-US"/>
        </w:rPr>
        <w:t>pker bolamyn" and "</w:t>
      </w:r>
      <w:r w:rsidRPr="001F748C">
        <w:rPr>
          <w:rFonts w:ascii="Times New Roman" w:hAnsi="Times New Roman"/>
          <w:sz w:val="24"/>
          <w:szCs w:val="24"/>
          <w:lang w:val="ru-RU"/>
        </w:rPr>
        <w:t>І</w:t>
      </w:r>
      <w:r w:rsidRPr="00CD5E54">
        <w:rPr>
          <w:rFonts w:ascii="Times New Roman" w:hAnsi="Times New Roman"/>
          <w:sz w:val="24"/>
          <w:szCs w:val="24"/>
          <w:lang w:val="en-US"/>
        </w:rPr>
        <w:t>sker kala" in Shymkent; and "Sayakhat" and "NurKapital" in the Mangystau region.</w:t>
      </w:r>
    </w:p>
    <w:p w14:paraId="44B31EC0" w14:textId="77777777" w:rsidR="00413F15"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These programs were implemented at various times in all regions of the republic through relatively small amounts allocated from regional budgets and co-financing from the Fund's own resources for the implementation of projects in specific economic sectors of a particular region, which provided for a reduction in the disproportion in the distribution of available credit funds at the regional and sectoral levels.</w:t>
      </w:r>
    </w:p>
    <w:p w14:paraId="26AF8511" w14:textId="77777777" w:rsidR="001F5172" w:rsidRPr="00CD5E54"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Due to limited access to preferential loans for businesses and the achievement of the goal of reaching a larger number of entrepreneurs, the Fund intends to continue implementing joint programs. To expand the country's reach with government support measures, the Fund plans to shift its front office focus from a wait-and-see approach to an active search for promising projects and investors, taking into account the specifics of each region (geography, ecology, population outflow, etc.).</w:t>
      </w:r>
    </w:p>
    <w:p w14:paraId="3690A46F" w14:textId="77777777" w:rsidR="001F5172" w:rsidRPr="001F748C" w:rsidRDefault="001F5172" w:rsidP="001F5172">
      <w:pPr>
        <w:pStyle w:val="af1"/>
        <w:tabs>
          <w:tab w:val="left" w:pos="567"/>
          <w:tab w:val="left" w:pos="709"/>
          <w:tab w:val="left" w:pos="851"/>
        </w:tabs>
        <w:spacing w:after="0" w:line="240" w:lineRule="auto"/>
        <w:ind w:left="426"/>
        <w:jc w:val="both"/>
      </w:pPr>
    </w:p>
    <w:p w14:paraId="66010632" w14:textId="77777777" w:rsidR="001847B7" w:rsidRPr="00CD5E54" w:rsidRDefault="001847B7" w:rsidP="00D6329B">
      <w:pPr>
        <w:pStyle w:val="af1"/>
        <w:tabs>
          <w:tab w:val="left" w:pos="426"/>
        </w:tabs>
        <w:spacing w:after="0" w:line="240" w:lineRule="auto"/>
        <w:ind w:left="0" w:firstLine="567"/>
        <w:jc w:val="both"/>
        <w:rPr>
          <w:rFonts w:ascii="Times New Roman" w:hAnsi="Times New Roman"/>
          <w:b/>
          <w:bCs/>
          <w:sz w:val="24"/>
          <w:szCs w:val="24"/>
          <w:lang w:val="en-US"/>
        </w:rPr>
      </w:pPr>
      <w:r w:rsidRPr="00CD5E54">
        <w:rPr>
          <w:rFonts w:ascii="Times New Roman" w:hAnsi="Times New Roman"/>
          <w:b/>
          <w:bCs/>
          <w:sz w:val="24"/>
          <w:szCs w:val="24"/>
          <w:lang w:val="en-US"/>
        </w:rPr>
        <w:t>Stimulating the transition of small businesses to medium-sized ones through the implementation of a business development training project, under the programs of international financial institutions</w:t>
      </w:r>
    </w:p>
    <w:p w14:paraId="50579E21" w14:textId="77777777" w:rsidR="001847B7" w:rsidRPr="00CD5E54" w:rsidRDefault="00A52A0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Along with increasing the volume of financial support for MSMEs using popular instruments such as preferential lending, subsidized interest rates on loans, and guarantees for entrepreneurs' liabilities, the Damu Fund's activities should be aimed at developing non-financial support, including enhancing the competence of MSMEs by establishing business relationships with foreign partners with the participation of international and foreign organizations.</w:t>
      </w:r>
    </w:p>
    <w:p w14:paraId="4C5A3C64" w14:textId="77777777" w:rsidR="001847B7" w:rsidRPr="00CD5E54" w:rsidRDefault="001847B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has over 25 years of experience supporting MSMEs in Kazakhstan. During this period, more than 196,000 entrepreneurs have participated in Damu Fund programs, and more than 701,000 entrepreneurs and individuals with entrepreneurial initiatives have participated in entrepreneur training and consulting programs.</w:t>
      </w:r>
    </w:p>
    <w:p w14:paraId="3CCBB174" w14:textId="77777777" w:rsidR="001847B7" w:rsidRPr="00CD5E54" w:rsidRDefault="001847B7"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Increasing entrepreneurial potential through a training project by establishing business connections with foreign partners is a logical continuation of measures to improve the business climate in the country and stimulates the development of small businesses and their transition to medium-sized ones.</w:t>
      </w:r>
    </w:p>
    <w:p w14:paraId="6D6382E8" w14:textId="77777777" w:rsidR="001847B7" w:rsidRPr="00CD5E54" w:rsidRDefault="00A52A06"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training project is designed for senior and mid-level managers of enterprises in priority economic sectors and will be a logical continuation of encouraging small businesses to transition to medium-sized businesses by increasing the potential of Kazakhstani entrepreneurs through establishing business connections with foreign partners, developing export potential, and technology transfer.</w:t>
      </w:r>
    </w:p>
    <w:p w14:paraId="1DA20155" w14:textId="77777777" w:rsidR="001F5172" w:rsidRDefault="00A52A06"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 xml:space="preserve">  The project includes a thematic business internship abroad, internships at foreign enterprises with similar profiles, and the establishment of business connections with foreign partners on issues of technology transfer and equipment acquisition, mutual supply of goods, works, and services, acquisition of franchises and licenses, receipt of grants from international and foreign organizations, creation of joint ventures, and more.</w:t>
      </w:r>
    </w:p>
    <w:p w14:paraId="4B1DCF6B" w14:textId="77777777" w:rsidR="00CC1F04" w:rsidRDefault="00CC1F04" w:rsidP="00CC1F04">
      <w:pPr>
        <w:tabs>
          <w:tab w:val="left" w:pos="709"/>
          <w:tab w:val="left" w:pos="851"/>
          <w:tab w:val="left" w:pos="993"/>
        </w:tabs>
        <w:jc w:val="both"/>
        <w:rPr>
          <w:lang w:val="en-US"/>
        </w:rPr>
      </w:pPr>
    </w:p>
    <w:p w14:paraId="1935E6D1" w14:textId="77777777" w:rsidR="00CC1F04" w:rsidRPr="00CC1F04" w:rsidRDefault="00CC1F04" w:rsidP="00CC1F04">
      <w:pPr>
        <w:tabs>
          <w:tab w:val="left" w:pos="709"/>
          <w:tab w:val="left" w:pos="851"/>
          <w:tab w:val="left" w:pos="993"/>
        </w:tabs>
        <w:jc w:val="both"/>
        <w:rPr>
          <w:lang w:val="en-US"/>
        </w:rPr>
      </w:pPr>
    </w:p>
    <w:p w14:paraId="6B19E7E1" w14:textId="77777777" w:rsidR="004357E2" w:rsidRPr="00CD5E54" w:rsidRDefault="004357E2" w:rsidP="004D65BF">
      <w:pPr>
        <w:tabs>
          <w:tab w:val="left" w:pos="567"/>
          <w:tab w:val="left" w:pos="709"/>
          <w:tab w:val="left" w:pos="851"/>
        </w:tabs>
        <w:jc w:val="both"/>
        <w:rPr>
          <w:i/>
          <w:color w:val="auto"/>
          <w:lang w:val="en-US"/>
        </w:rPr>
      </w:pPr>
    </w:p>
    <w:p w14:paraId="5BE17FF3" w14:textId="77777777" w:rsidR="00031BCF" w:rsidRDefault="00031BCF" w:rsidP="00435B31">
      <w:pPr>
        <w:ind w:firstLine="567"/>
        <w:jc w:val="both"/>
        <w:rPr>
          <w:b/>
          <w:color w:val="auto"/>
          <w:lang w:val="en-US"/>
        </w:rPr>
      </w:pPr>
      <w:r w:rsidRPr="00F95277">
        <w:rPr>
          <w:b/>
          <w:color w:val="auto"/>
        </w:rPr>
        <w:lastRenderedPageBreak/>
        <w:t>Improving the risk management system</w:t>
      </w:r>
    </w:p>
    <w:p w14:paraId="34091741" w14:textId="77777777" w:rsidR="004B116A" w:rsidRPr="004B116A" w:rsidRDefault="004B116A" w:rsidP="00435B31">
      <w:pPr>
        <w:ind w:firstLine="567"/>
        <w:jc w:val="both"/>
        <w:rPr>
          <w:b/>
          <w:color w:val="auto"/>
          <w:lang w:val="en-US"/>
        </w:rPr>
      </w:pPr>
    </w:p>
    <w:p w14:paraId="74F6659D"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Fund's risk management system includes a system of processes and procedures that provide the Fund's executive body and management body with timely information on risks and decisions to minimize them.</w:t>
      </w:r>
    </w:p>
    <w:p w14:paraId="2BA53E29"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key element of the Fund's risk management process is its integration with the specifics of the organization, its core operating principles, business processes, and the involvement of each employee in the risk management process.</w:t>
      </w:r>
    </w:p>
    <w:p w14:paraId="7D4E639D"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risk management system is aimed at implementing the principles of comprehensive credit risk analysis within SME project guarantee programs. Given the importance of the program, the Fund annually improves its project risk assessment methodology, enabling early credit risk mitigation.</w:t>
      </w:r>
    </w:p>
    <w:p w14:paraId="43506B22" w14:textId="77777777" w:rsidR="003E451F" w:rsidRPr="00CD5E54" w:rsidRDefault="003E451F" w:rsidP="003E451F">
      <w:pPr>
        <w:pStyle w:val="af1"/>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195-1. It is planned to automate risk management reporting for subsequent use in portfolio analysis and the construction of new risk assessment models in the medium term.</w:t>
      </w:r>
    </w:p>
    <w:p w14:paraId="7F2ABCCE" w14:textId="77777777" w:rsidR="003E451F" w:rsidRPr="00CD5E54" w:rsidRDefault="003E451F" w:rsidP="003E451F">
      <w:pPr>
        <w:ind w:firstLine="567"/>
        <w:jc w:val="both"/>
        <w:rPr>
          <w:rFonts w:eastAsia="Calibri"/>
          <w:color w:val="auto"/>
          <w:lang w:val="en-US" w:eastAsia="en-US"/>
        </w:rPr>
      </w:pPr>
      <w:r w:rsidRPr="00CD5E54">
        <w:rPr>
          <w:rFonts w:eastAsia="Calibri"/>
          <w:color w:val="auto"/>
          <w:lang w:val="en-US" w:eastAsia="en-US"/>
        </w:rPr>
        <w:t>195-2. It is envisaged to strengthen risk control at the portfolio level in order to improve the efficiency of managing the overall risk position and to ensure the sustainability of operations in the long term.</w:t>
      </w:r>
    </w:p>
    <w:p w14:paraId="259A39A7" w14:textId="77777777" w:rsidR="003E451F" w:rsidRPr="00CD5E54" w:rsidRDefault="003E451F" w:rsidP="003E451F">
      <w:pPr>
        <w:pStyle w:val="af1"/>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195-3. It is planned to update the rating and scoring models in order to improve the accuracy of risk assessment and make informed management decisions.</w:t>
      </w:r>
    </w:p>
    <w:p w14:paraId="28A27716" w14:textId="77777777" w:rsidR="00EE5EDB" w:rsidRPr="00CD5E54" w:rsidRDefault="003E451F" w:rsidP="0091558D">
      <w:pPr>
        <w:pStyle w:val="af1"/>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195-4. In order to improve the level of risk culture in the Fund, training for employees will be organized on an ongoing basis.</w:t>
      </w:r>
    </w:p>
    <w:p w14:paraId="7BBF6267" w14:textId="77777777" w:rsidR="00031BCF" w:rsidRPr="00CD5E54" w:rsidRDefault="00031BCF" w:rsidP="00031BCF">
      <w:pPr>
        <w:ind w:firstLine="567"/>
        <w:jc w:val="both"/>
        <w:rPr>
          <w:b/>
          <w:color w:val="auto"/>
          <w:lang w:val="en-US"/>
        </w:rPr>
      </w:pPr>
    </w:p>
    <w:p w14:paraId="782EFA55" w14:textId="77777777" w:rsidR="00031BCF" w:rsidRPr="00F95277" w:rsidRDefault="00031BCF" w:rsidP="00031BCF">
      <w:pPr>
        <w:ind w:firstLine="567"/>
        <w:jc w:val="both"/>
        <w:rPr>
          <w:b/>
          <w:color w:val="auto"/>
        </w:rPr>
      </w:pPr>
      <w:r w:rsidRPr="00F95277">
        <w:rPr>
          <w:b/>
          <w:color w:val="auto"/>
        </w:rPr>
        <w:t>Improving the internal control system</w:t>
      </w:r>
    </w:p>
    <w:p w14:paraId="3D4684E4"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internal control system is an integral part of the corporate governance system and a crucial element in ensuring the effectiveness of business processes. The Fund's Internal Audit Service (IAS) evaluates the effectiveness, efficiency, and cost-effectiveness of activities and programs, and conducts audits of corporate governance, risk management, and internal control. The IAS provides recommendations and advice to management. Thus, it provides assurance in the areas of corporate governance, risk management, and internal control within the Fund and is recognized as a key element of the transformation.</w:t>
      </w:r>
    </w:p>
    <w:p w14:paraId="5564FBF7" w14:textId="77777777" w:rsidR="00552E69" w:rsidRPr="00CD5E54" w:rsidRDefault="00552E69" w:rsidP="00552E69">
      <w:pPr>
        <w:pStyle w:val="af6"/>
        <w:ind w:firstLine="567"/>
        <w:jc w:val="both"/>
        <w:rPr>
          <w:lang w:val="en-US"/>
        </w:rPr>
      </w:pPr>
      <w:r w:rsidRPr="00CD5E54">
        <w:rPr>
          <w:lang w:val="en-US"/>
        </w:rPr>
        <w:t>196-1. To enhance the transparency of its operations and prevent ethical violations, the Fund will implement a systemic tool to identify and minimize the risks of corruption. This mechanism includes:</w:t>
      </w:r>
    </w:p>
    <w:p w14:paraId="1E23041B" w14:textId="77777777" w:rsidR="00552E69" w:rsidRPr="00CD5E54" w:rsidRDefault="00552E69" w:rsidP="0031388A">
      <w:pPr>
        <w:pStyle w:val="af6"/>
        <w:numPr>
          <w:ilvl w:val="0"/>
          <w:numId w:val="17"/>
        </w:numPr>
        <w:tabs>
          <w:tab w:val="clear" w:pos="720"/>
          <w:tab w:val="num" w:pos="851"/>
        </w:tabs>
        <w:ind w:left="851" w:hanging="284"/>
        <w:jc w:val="both"/>
        <w:rPr>
          <w:lang w:val="en-US"/>
        </w:rPr>
      </w:pPr>
      <w:r w:rsidRPr="00CD5E54">
        <w:rPr>
          <w:lang w:val="en-US"/>
        </w:rPr>
        <w:t>identification of potential corruption risks in the performance of functional duties;</w:t>
      </w:r>
    </w:p>
    <w:p w14:paraId="40613D53" w14:textId="77777777" w:rsidR="00552E69" w:rsidRPr="00CD5E54" w:rsidRDefault="00552E69" w:rsidP="0031388A">
      <w:pPr>
        <w:pStyle w:val="af6"/>
        <w:numPr>
          <w:ilvl w:val="0"/>
          <w:numId w:val="17"/>
        </w:numPr>
        <w:tabs>
          <w:tab w:val="clear" w:pos="720"/>
          <w:tab w:val="num" w:pos="851"/>
        </w:tabs>
        <w:ind w:left="851" w:hanging="284"/>
        <w:jc w:val="both"/>
        <w:rPr>
          <w:lang w:val="en-US"/>
        </w:rPr>
      </w:pPr>
      <w:r w:rsidRPr="00CD5E54">
        <w:rPr>
          <w:lang w:val="en-US"/>
        </w:rPr>
        <w:t>analysis of factors and conditions that contribute to corruption both internally and externally;</w:t>
      </w:r>
    </w:p>
    <w:p w14:paraId="6D7A77DC" w14:textId="77777777" w:rsidR="00552E69" w:rsidRPr="00CD5E54" w:rsidRDefault="00552E69" w:rsidP="0031388A">
      <w:pPr>
        <w:pStyle w:val="af6"/>
        <w:numPr>
          <w:ilvl w:val="0"/>
          <w:numId w:val="17"/>
        </w:numPr>
        <w:tabs>
          <w:tab w:val="clear" w:pos="720"/>
          <w:tab w:val="num" w:pos="851"/>
        </w:tabs>
        <w:ind w:left="851" w:hanging="284"/>
        <w:jc w:val="both"/>
        <w:rPr>
          <w:lang w:val="en-US"/>
        </w:rPr>
      </w:pPr>
      <w:r w:rsidRPr="00CD5E54">
        <w:rPr>
          <w:lang w:val="en-US"/>
        </w:rPr>
        <w:t>identification of indicators of possible violations (typical signs, behavior patterns and deviations);</w:t>
      </w:r>
    </w:p>
    <w:p w14:paraId="0E55238B" w14:textId="77777777" w:rsidR="00552E69" w:rsidRPr="00CD5E54" w:rsidRDefault="00552E69" w:rsidP="0031388A">
      <w:pPr>
        <w:pStyle w:val="af6"/>
        <w:numPr>
          <w:ilvl w:val="0"/>
          <w:numId w:val="17"/>
        </w:numPr>
        <w:tabs>
          <w:tab w:val="clear" w:pos="720"/>
          <w:tab w:val="num" w:pos="851"/>
        </w:tabs>
        <w:ind w:left="851" w:hanging="284"/>
        <w:jc w:val="both"/>
        <w:rPr>
          <w:lang w:val="en-US"/>
        </w:rPr>
      </w:pPr>
      <w:r w:rsidRPr="00CD5E54">
        <w:rPr>
          <w:lang w:val="en-US"/>
        </w:rPr>
        <w:t>development and implementation of preventive mechanisms, including recommendations for reducing and eliminating identified risks.</w:t>
      </w:r>
    </w:p>
    <w:p w14:paraId="73413F45"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IAS conducts a forward-looking assessment of human resources by developing a strategic plan that sets out internal audit's objectives for competency development and management's planned staff development activities, including interaction with professional bodies.</w:t>
      </w:r>
    </w:p>
    <w:p w14:paraId="2925279D"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Understanding the Fund's strategic direction and potential challenges and risks, the IAS is adapting its staff's skills and audit services to meet future needs. The IAS continuously improves its professional practices by integrating performance data, global best practices, and feedback from audited entities.</w:t>
      </w:r>
    </w:p>
    <w:p w14:paraId="116D7AF2"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achieve strategic goals, the IAS integrates quantitative and qualitative performance indicators.</w:t>
      </w:r>
    </w:p>
    <w:p w14:paraId="30123F47" w14:textId="77777777" w:rsidR="00031BCF" w:rsidRPr="00CD5E54" w:rsidRDefault="00031BCF" w:rsidP="00D6329B">
      <w:pPr>
        <w:tabs>
          <w:tab w:val="left" w:pos="567"/>
          <w:tab w:val="left" w:pos="709"/>
          <w:tab w:val="left" w:pos="851"/>
          <w:tab w:val="left" w:pos="993"/>
        </w:tabs>
        <w:ind w:firstLine="567"/>
        <w:jc w:val="both"/>
        <w:rPr>
          <w:i/>
          <w:color w:val="auto"/>
          <w:lang w:val="en-US"/>
        </w:rPr>
      </w:pPr>
    </w:p>
    <w:p w14:paraId="47124475" w14:textId="77777777" w:rsidR="00031BCF" w:rsidRPr="00F95277" w:rsidRDefault="00031BCF" w:rsidP="00D6329B">
      <w:pPr>
        <w:tabs>
          <w:tab w:val="left" w:pos="993"/>
        </w:tabs>
        <w:ind w:firstLine="567"/>
        <w:jc w:val="both"/>
        <w:rPr>
          <w:b/>
          <w:bCs/>
          <w:color w:val="auto"/>
        </w:rPr>
      </w:pPr>
      <w:r w:rsidRPr="00F95277">
        <w:rPr>
          <w:b/>
          <w:bCs/>
          <w:color w:val="auto"/>
        </w:rPr>
        <w:t>Personnel development</w:t>
      </w:r>
    </w:p>
    <w:p w14:paraId="22D92927"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part of its human resources management activities, the Fund adheres to the goals and objectives of the Holding's Unified HR Policy.</w:t>
      </w:r>
    </w:p>
    <w:p w14:paraId="000C7F2F"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lastRenderedPageBreak/>
        <w:t>The goal of the Unified Personnel Policy is to strengthen the organization's position, which requires the sustainable development of highly professional and mobile labor resources sufficient to achieve the set strategic objectives.</w:t>
      </w:r>
    </w:p>
    <w:p w14:paraId="7A77E285" w14:textId="77777777" w:rsidR="00031BCF" w:rsidRPr="00CD5E54"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Objectives of the personnel policy aimed at achieving the stated goal:</w:t>
      </w:r>
    </w:p>
    <w:p w14:paraId="643A0E36" w14:textId="77777777" w:rsidR="00031BCF" w:rsidRPr="00CD5E54" w:rsidRDefault="007A7B9C" w:rsidP="0031388A">
      <w:pPr>
        <w:pStyle w:val="af6"/>
        <w:numPr>
          <w:ilvl w:val="0"/>
          <w:numId w:val="17"/>
        </w:numPr>
        <w:tabs>
          <w:tab w:val="clear" w:pos="720"/>
          <w:tab w:val="num" w:pos="851"/>
        </w:tabs>
        <w:ind w:left="851" w:hanging="284"/>
        <w:jc w:val="both"/>
        <w:rPr>
          <w:lang w:val="en-US"/>
        </w:rPr>
      </w:pPr>
      <w:r w:rsidRPr="00CD5E54">
        <w:rPr>
          <w:lang w:val="en-US"/>
        </w:rPr>
        <w:t>Ensuring the right people to achieve our goals using workforce planning tools, including workload and needs analysis, while respecting the principles of diversity and inclusion.</w:t>
      </w:r>
    </w:p>
    <w:p w14:paraId="22402BE0" w14:textId="77777777" w:rsidR="00031BCF" w:rsidRPr="00CD5E54" w:rsidRDefault="00031BCF" w:rsidP="0031388A">
      <w:pPr>
        <w:pStyle w:val="af6"/>
        <w:numPr>
          <w:ilvl w:val="0"/>
          <w:numId w:val="17"/>
        </w:numPr>
        <w:tabs>
          <w:tab w:val="clear" w:pos="720"/>
          <w:tab w:val="num" w:pos="851"/>
        </w:tabs>
        <w:ind w:left="851" w:hanging="284"/>
        <w:jc w:val="both"/>
        <w:rPr>
          <w:lang w:val="en-US"/>
        </w:rPr>
      </w:pPr>
      <w:r w:rsidRPr="00CD5E54">
        <w:rPr>
          <w:lang w:val="en-US"/>
        </w:rPr>
        <w:t>Improving the level of employee competence to ensure the development of human capital, especially in terms of digital skills.</w:t>
      </w:r>
    </w:p>
    <w:p w14:paraId="12DFE654" w14:textId="77777777" w:rsidR="00031BCF" w:rsidRPr="00CD5E54" w:rsidRDefault="00031BCF" w:rsidP="0031388A">
      <w:pPr>
        <w:pStyle w:val="af6"/>
        <w:numPr>
          <w:ilvl w:val="0"/>
          <w:numId w:val="17"/>
        </w:numPr>
        <w:tabs>
          <w:tab w:val="clear" w:pos="720"/>
          <w:tab w:val="num" w:pos="851"/>
        </w:tabs>
        <w:ind w:left="851" w:hanging="284"/>
        <w:jc w:val="both"/>
        <w:rPr>
          <w:lang w:val="en-US"/>
        </w:rPr>
      </w:pPr>
      <w:r w:rsidRPr="00CD5E54">
        <w:rPr>
          <w:lang w:val="en-US"/>
        </w:rPr>
        <w:t>Increasing and maintaining employee engagement and productivity.</w:t>
      </w:r>
    </w:p>
    <w:p w14:paraId="3293CF9A" w14:textId="77777777" w:rsidR="00031BCF" w:rsidRPr="00CD5E54" w:rsidRDefault="00031BCF" w:rsidP="0031388A">
      <w:pPr>
        <w:pStyle w:val="af6"/>
        <w:numPr>
          <w:ilvl w:val="0"/>
          <w:numId w:val="17"/>
        </w:numPr>
        <w:tabs>
          <w:tab w:val="clear" w:pos="720"/>
          <w:tab w:val="num" w:pos="851"/>
        </w:tabs>
        <w:ind w:left="851" w:hanging="284"/>
        <w:jc w:val="both"/>
        <w:rPr>
          <w:lang w:val="en-US"/>
        </w:rPr>
      </w:pPr>
      <w:r w:rsidRPr="00CD5E54">
        <w:rPr>
          <w:lang w:val="en-US"/>
        </w:rPr>
        <w:t>Digitalization of HR processes, including recruitment and selection, performance assessment, as well as development and training.</w:t>
      </w:r>
    </w:p>
    <w:p w14:paraId="6B900B6D" w14:textId="77777777" w:rsidR="00031BCF" w:rsidRPr="00CD5E54" w:rsidRDefault="00031BCF" w:rsidP="0031388A">
      <w:pPr>
        <w:pStyle w:val="af6"/>
        <w:numPr>
          <w:ilvl w:val="0"/>
          <w:numId w:val="17"/>
        </w:numPr>
        <w:tabs>
          <w:tab w:val="clear" w:pos="720"/>
          <w:tab w:val="num" w:pos="851"/>
        </w:tabs>
        <w:ind w:left="851" w:hanging="284"/>
        <w:jc w:val="both"/>
        <w:rPr>
          <w:lang w:val="en-US"/>
        </w:rPr>
      </w:pPr>
      <w:r w:rsidRPr="00CD5E54">
        <w:rPr>
          <w:lang w:val="en-US"/>
        </w:rPr>
        <w:t>Setting up and calibrating the performance management process.</w:t>
      </w:r>
    </w:p>
    <w:p w14:paraId="1013558D" w14:textId="77777777" w:rsidR="000F226D" w:rsidRPr="00CD5E54" w:rsidRDefault="007A7B9C" w:rsidP="0031388A">
      <w:pPr>
        <w:pStyle w:val="af6"/>
        <w:numPr>
          <w:ilvl w:val="0"/>
          <w:numId w:val="17"/>
        </w:numPr>
        <w:tabs>
          <w:tab w:val="clear" w:pos="720"/>
          <w:tab w:val="num" w:pos="851"/>
        </w:tabs>
        <w:ind w:left="851" w:hanging="284"/>
        <w:jc w:val="both"/>
        <w:rPr>
          <w:lang w:val="en-US"/>
        </w:rPr>
      </w:pPr>
      <w:r w:rsidRPr="00CD5E54">
        <w:rPr>
          <w:lang w:val="en-US"/>
        </w:rPr>
        <w:t>Developing a corporate culture based on ESG principles, trust, openness, teamwork, and professionalism.</w:t>
      </w:r>
    </w:p>
    <w:p w14:paraId="50C5CCED" w14:textId="77777777" w:rsidR="007F0B08" w:rsidRPr="00CD5E54" w:rsidRDefault="00327EA8" w:rsidP="0031388A">
      <w:pPr>
        <w:pStyle w:val="af6"/>
        <w:numPr>
          <w:ilvl w:val="0"/>
          <w:numId w:val="17"/>
        </w:numPr>
        <w:tabs>
          <w:tab w:val="clear" w:pos="720"/>
          <w:tab w:val="num" w:pos="851"/>
        </w:tabs>
        <w:ind w:left="851" w:hanging="284"/>
        <w:jc w:val="both"/>
        <w:rPr>
          <w:lang w:val="en-US"/>
        </w:rPr>
      </w:pPr>
      <w:r w:rsidRPr="00CD5E54">
        <w:rPr>
          <w:lang w:val="en-US"/>
        </w:rPr>
        <w:t>Development of the mentoring institute, internal trainers and management schools (including the “School of Young Managers”).</w:t>
      </w:r>
    </w:p>
    <w:p w14:paraId="4F537D9C" w14:textId="77777777" w:rsidR="007F0B08" w:rsidRPr="00CD5E54" w:rsidRDefault="00327EA8" w:rsidP="0031388A">
      <w:pPr>
        <w:pStyle w:val="af6"/>
        <w:numPr>
          <w:ilvl w:val="0"/>
          <w:numId w:val="17"/>
        </w:numPr>
        <w:tabs>
          <w:tab w:val="clear" w:pos="720"/>
          <w:tab w:val="num" w:pos="851"/>
        </w:tabs>
        <w:ind w:left="851" w:hanging="284"/>
        <w:jc w:val="both"/>
        <w:rPr>
          <w:lang w:val="en-US"/>
        </w:rPr>
      </w:pPr>
      <w:r w:rsidRPr="00CD5E54">
        <w:rPr>
          <w:lang w:val="en-US"/>
        </w:rPr>
        <w:t>Implementation of modular training programs with an emphasis on developing soft skills and management competencies based on market objectives and requirements.</w:t>
      </w:r>
    </w:p>
    <w:p w14:paraId="51069786" w14:textId="77777777" w:rsidR="00031BCF" w:rsidRPr="00CD5E54" w:rsidRDefault="00327EA8" w:rsidP="0031388A">
      <w:pPr>
        <w:pStyle w:val="af6"/>
        <w:numPr>
          <w:ilvl w:val="0"/>
          <w:numId w:val="17"/>
        </w:numPr>
        <w:tabs>
          <w:tab w:val="clear" w:pos="720"/>
          <w:tab w:val="num" w:pos="851"/>
        </w:tabs>
        <w:ind w:left="851" w:hanging="284"/>
        <w:jc w:val="both"/>
        <w:rPr>
          <w:lang w:val="en-US"/>
        </w:rPr>
      </w:pPr>
      <w:r w:rsidRPr="00CD5E54">
        <w:rPr>
          <w:lang w:val="en-US"/>
        </w:rPr>
        <w:t>Expanding the use of HR analytics and digital tools (including AI) to forecast talent needs and evaluate process performance.</w:t>
      </w:r>
    </w:p>
    <w:p w14:paraId="04EFBEF5" w14:textId="77777777" w:rsidR="007A7B9C" w:rsidRPr="00CD5E54" w:rsidRDefault="007A7B9C" w:rsidP="0031388A">
      <w:pPr>
        <w:pStyle w:val="af6"/>
        <w:numPr>
          <w:ilvl w:val="0"/>
          <w:numId w:val="17"/>
        </w:numPr>
        <w:tabs>
          <w:tab w:val="clear" w:pos="720"/>
          <w:tab w:val="num" w:pos="851"/>
        </w:tabs>
        <w:ind w:left="851" w:hanging="284"/>
        <w:jc w:val="both"/>
        <w:rPr>
          <w:lang w:val="en-US"/>
        </w:rPr>
      </w:pPr>
      <w:r w:rsidRPr="00CD5E54">
        <w:rPr>
          <w:lang w:val="en-US"/>
        </w:rPr>
        <w:t>Developing internal communications, regularly monitoring employee engagement and satisfaction with working conditions.</w:t>
      </w:r>
    </w:p>
    <w:p w14:paraId="7C7D7738" w14:textId="77777777" w:rsidR="00031BCF" w:rsidRPr="00CD5E54" w:rsidRDefault="007E3A92" w:rsidP="0031388A">
      <w:pPr>
        <w:pStyle w:val="af1"/>
        <w:numPr>
          <w:ilvl w:val="0"/>
          <w:numId w:val="3"/>
        </w:numPr>
        <w:tabs>
          <w:tab w:val="left" w:pos="567"/>
          <w:tab w:val="left" w:pos="709"/>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ensure the Fund has the necessary human resources with the necessary qualifications and motivation, the Fund, as part of its Strategy, is actively working to develop and nurture its personnel by creating an effective training and education system. The Fund's HR objectives are to attract and retain professionals capable of contributing to the Fund's development and increased effectiveness. As part of its HR policy, taking into account a unified approach across all of the Holding's subsidiaries, the Fund plans to develop in the following areas:</w:t>
      </w:r>
    </w:p>
    <w:p w14:paraId="7453A4B7" w14:textId="77777777" w:rsidR="00031BCF" w:rsidRPr="00CD5E54" w:rsidRDefault="00031BCF" w:rsidP="00D6329B">
      <w:pPr>
        <w:ind w:firstLine="567"/>
        <w:jc w:val="both"/>
        <w:rPr>
          <w:color w:val="auto"/>
          <w:lang w:val="en-US"/>
        </w:rPr>
      </w:pPr>
      <w:r w:rsidRPr="00CD5E54">
        <w:rPr>
          <w:color w:val="auto"/>
          <w:lang w:val="en-US"/>
        </w:rPr>
        <w:t>1) human resource planning will be carried out through the use of an open competitive selection process, ensuring transparency, as well as through the creation of a personnel reserve from the best employees of the Fund;</w:t>
      </w:r>
    </w:p>
    <w:p w14:paraId="47E2E69C" w14:textId="77777777" w:rsidR="00031BCF" w:rsidRPr="00CD5E54" w:rsidRDefault="00031BCF" w:rsidP="00D6329B">
      <w:pPr>
        <w:ind w:firstLine="567"/>
        <w:jc w:val="both"/>
        <w:rPr>
          <w:color w:val="auto"/>
          <w:lang w:val="en-US"/>
        </w:rPr>
      </w:pPr>
      <w:r w:rsidRPr="00CD5E54">
        <w:rPr>
          <w:color w:val="auto"/>
          <w:lang w:val="en-US"/>
        </w:rPr>
        <w:t>2) the increase in the level of employee productivity will be carried out through performance assessment, the use of key performance indicators, personnel certification and motivational programs;</w:t>
      </w:r>
    </w:p>
    <w:p w14:paraId="66B5B853" w14:textId="77777777" w:rsidR="00031BCF" w:rsidRPr="00CD5E54" w:rsidRDefault="00031BCF" w:rsidP="00D6329B">
      <w:pPr>
        <w:ind w:firstLine="567"/>
        <w:jc w:val="both"/>
        <w:rPr>
          <w:color w:val="auto"/>
          <w:lang w:val="en-US"/>
        </w:rPr>
      </w:pPr>
      <w:r w:rsidRPr="00CD5E54">
        <w:rPr>
          <w:color w:val="auto"/>
          <w:lang w:val="en-US"/>
        </w:rPr>
        <w:t>3)</w:t>
      </w:r>
      <w:r w:rsidR="00632A6C" w:rsidRPr="00CD5E54">
        <w:rPr>
          <w:lang w:val="en-US"/>
        </w:rPr>
        <w:t>Effective human capital management will be ensured by a system of continuous personnel training and development, the implementation and application of modern technologies and information management systems in work processes, including the digitalization of knowledge management processes. Particular attention will be paid to aligning the level of professional training of the Fund's employees with the requirements for highly qualified specialists, including developing competencies in risk management, project analysis, client support, and digital tools.</w:t>
      </w:r>
      <w:r w:rsidRPr="00CD5E54">
        <w:rPr>
          <w:color w:val="auto"/>
          <w:lang w:val="en-US"/>
        </w:rPr>
        <w:t>;</w:t>
      </w:r>
    </w:p>
    <w:p w14:paraId="646D3732" w14:textId="77777777" w:rsidR="008E0057" w:rsidRPr="00CD5E54" w:rsidRDefault="008E0057" w:rsidP="008E0057">
      <w:pPr>
        <w:ind w:firstLine="567"/>
        <w:jc w:val="both"/>
        <w:rPr>
          <w:color w:val="auto"/>
          <w:lang w:val="en-US"/>
        </w:rPr>
      </w:pPr>
      <w:r w:rsidRPr="00CD5E54">
        <w:rPr>
          <w:lang w:val="en-US"/>
        </w:rPr>
        <w:t>4) ensuring fair and competitive remuneration for work based on the implemented grading system and taking into account the review of salaries on the market, as well as the introduction of a flexible system of personnel motivation taking into account market benchmarks and the strategic objectives of the Fund;</w:t>
      </w:r>
    </w:p>
    <w:p w14:paraId="4CEB5A58" w14:textId="77777777" w:rsidR="00367CC0" w:rsidRPr="00CD5E54" w:rsidRDefault="00367CC0" w:rsidP="00367CC0">
      <w:pPr>
        <w:ind w:firstLine="567"/>
        <w:jc w:val="both"/>
        <w:rPr>
          <w:color w:val="auto"/>
          <w:lang w:val="en-US"/>
        </w:rPr>
      </w:pPr>
      <w:r w:rsidRPr="00CD5E54">
        <w:rPr>
          <w:color w:val="auto"/>
          <w:lang w:val="en-US"/>
        </w:rPr>
        <w:t>5) increasing operational efficiency through automation of HR processes, including recruitment, personnel records management, KPI assessment, training, talent pool management, and the creation of electronic personal accounts,</w:t>
      </w:r>
      <w:r w:rsidR="00974D16" w:rsidRPr="00CD5E54">
        <w:rPr>
          <w:lang w:val="en-US"/>
        </w:rPr>
        <w:t>as well as automation of the learning process, formation of curricula and approval of contracts for training in</w:t>
      </w:r>
      <w:r w:rsidRPr="00CD5E54">
        <w:rPr>
          <w:color w:val="auto"/>
          <w:lang w:val="en-US"/>
        </w:rPr>
        <w:t>unified electronic document management system;</w:t>
      </w:r>
    </w:p>
    <w:p w14:paraId="7BF5D25C" w14:textId="2444B32C" w:rsidR="00367CC0" w:rsidRPr="00CD5E54" w:rsidRDefault="00367CC0" w:rsidP="00367CC0">
      <w:pPr>
        <w:ind w:firstLine="567"/>
        <w:jc w:val="both"/>
        <w:rPr>
          <w:color w:val="auto"/>
          <w:lang w:val="en-US"/>
        </w:rPr>
      </w:pPr>
      <w:r w:rsidRPr="00CD5E54">
        <w:rPr>
          <w:color w:val="auto"/>
          <w:lang w:val="en-US"/>
        </w:rPr>
        <w:t xml:space="preserve">6) promoting the </w:t>
      </w:r>
      <w:r w:rsidR="00A157BD">
        <w:rPr>
          <w:color w:val="auto"/>
          <w:lang w:val="en-US"/>
        </w:rPr>
        <w:t>Fund</w:t>
      </w:r>
      <w:r w:rsidRPr="00CD5E54">
        <w:rPr>
          <w:color w:val="auto"/>
          <w:lang w:val="en-US"/>
        </w:rPr>
        <w:t xml:space="preserve">’s HR brand and attracting young professionals, including through partnerships with universities and professional communities, and developing the </w:t>
      </w:r>
      <w:r w:rsidR="00A157BD">
        <w:rPr>
          <w:color w:val="auto"/>
          <w:lang w:val="en-US"/>
        </w:rPr>
        <w:t>Fund</w:t>
      </w:r>
      <w:r w:rsidRPr="00CD5E54">
        <w:rPr>
          <w:color w:val="auto"/>
          <w:lang w:val="en-US"/>
        </w:rPr>
        <w:t>’s image as an employer.</w:t>
      </w:r>
    </w:p>
    <w:p w14:paraId="2093FEF2" w14:textId="5BCDF5E6" w:rsidR="007C2F9F" w:rsidRPr="00CD5E54" w:rsidRDefault="007C2F9F" w:rsidP="00367CC0">
      <w:pPr>
        <w:ind w:firstLine="567"/>
        <w:jc w:val="both"/>
        <w:rPr>
          <w:lang w:val="en-US"/>
        </w:rPr>
      </w:pPr>
      <w:r w:rsidRPr="00CD5E54">
        <w:rPr>
          <w:color w:val="auto"/>
          <w:lang w:val="en-US"/>
        </w:rPr>
        <w:lastRenderedPageBreak/>
        <w:t>203-1.</w:t>
      </w:r>
      <w:r w:rsidR="004B116A">
        <w:rPr>
          <w:color w:val="auto"/>
          <w:lang w:val="en-US"/>
        </w:rPr>
        <w:t xml:space="preserve"> </w:t>
      </w:r>
      <w:r w:rsidR="00675056" w:rsidRPr="00CD5E54">
        <w:rPr>
          <w:lang w:val="en-US"/>
        </w:rPr>
        <w:t xml:space="preserve">To ensure sustainable development and compliance with modern requirements, the </w:t>
      </w:r>
      <w:r w:rsidR="00A157BD">
        <w:rPr>
          <w:lang w:val="en-US"/>
        </w:rPr>
        <w:t>Fund</w:t>
      </w:r>
      <w:r w:rsidR="00675056" w:rsidRPr="00CD5E54">
        <w:rPr>
          <w:lang w:val="en-US"/>
        </w:rPr>
        <w:t xml:space="preserve"> strengthens its corporate culture, building on the principles of transparency, inclusivity, and ESG. Particular attention is paid to developing managerial and digital competencies, soft skills, and leadership qualities, as well as creating an engaging environment that fosters high performance and employee commitment to the </w:t>
      </w:r>
      <w:r w:rsidR="00A157BD">
        <w:rPr>
          <w:lang w:val="en-US"/>
        </w:rPr>
        <w:t>Fund</w:t>
      </w:r>
      <w:r w:rsidR="00675056" w:rsidRPr="00CD5E54">
        <w:rPr>
          <w:lang w:val="en-US"/>
        </w:rPr>
        <w:t>'s goals.</w:t>
      </w:r>
    </w:p>
    <w:p w14:paraId="68A85690" w14:textId="7EDF064E" w:rsidR="00974D16" w:rsidRPr="00CD5E54" w:rsidRDefault="00974D16" w:rsidP="00367CC0">
      <w:pPr>
        <w:ind w:firstLine="567"/>
        <w:jc w:val="both"/>
        <w:rPr>
          <w:color w:val="auto"/>
          <w:lang w:val="en-US"/>
        </w:rPr>
      </w:pPr>
      <w:r w:rsidRPr="00CD5E54">
        <w:rPr>
          <w:lang w:val="en-US"/>
        </w:rPr>
        <w:t xml:space="preserve">203-2. To improve the efficiency of human resources management, the </w:t>
      </w:r>
      <w:r w:rsidR="00A157BD">
        <w:rPr>
          <w:lang w:val="en-US"/>
        </w:rPr>
        <w:t>Fund</w:t>
      </w:r>
      <w:r w:rsidRPr="00CD5E54">
        <w:rPr>
          <w:lang w:val="en-US"/>
        </w:rPr>
        <w:t xml:space="preserve"> is implementing digital HR analytics tools, including HR metrics (turnover, engagement, training effectiveness), competency assessment tools, and talent needs forecasting. This will enable data-driven decision-making and increase process transparency.</w:t>
      </w:r>
    </w:p>
    <w:p w14:paraId="1D0DCB8D" w14:textId="77777777" w:rsidR="00031BCF" w:rsidRPr="00CD5E54" w:rsidRDefault="00031BCF" w:rsidP="004D65BF">
      <w:pPr>
        <w:tabs>
          <w:tab w:val="left" w:pos="567"/>
          <w:tab w:val="left" w:pos="709"/>
          <w:tab w:val="left" w:pos="851"/>
        </w:tabs>
        <w:jc w:val="both"/>
        <w:rPr>
          <w:i/>
          <w:color w:val="auto"/>
          <w:lang w:val="en-US"/>
        </w:rPr>
      </w:pPr>
    </w:p>
    <w:p w14:paraId="35468FA7" w14:textId="77777777" w:rsidR="00014C1A" w:rsidRPr="00CD5E54" w:rsidRDefault="00003B0B" w:rsidP="00D6329B">
      <w:pPr>
        <w:tabs>
          <w:tab w:val="left" w:pos="567"/>
          <w:tab w:val="left" w:pos="709"/>
          <w:tab w:val="left" w:pos="851"/>
        </w:tabs>
        <w:ind w:firstLine="567"/>
        <w:jc w:val="both"/>
        <w:rPr>
          <w:b/>
          <w:color w:val="auto"/>
          <w:lang w:val="en-US"/>
        </w:rPr>
      </w:pPr>
      <w:r w:rsidRPr="00CD5E54">
        <w:rPr>
          <w:b/>
          <w:bCs/>
          <w:color w:val="auto"/>
          <w:lang w:val="en-US"/>
        </w:rPr>
        <w:t>Expert support for analytical research by international development organizations in the field of MSMEs (OECD, etc.).</w:t>
      </w:r>
    </w:p>
    <w:p w14:paraId="6F01D2AE" w14:textId="77777777" w:rsidR="00014C1A" w:rsidRPr="00CD5E54" w:rsidRDefault="00C847D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Fund, as the primary MSME support institution in Kazakhstan, will continuously monitor and analyze key development indicators for this sector, the results of which will be published in periodic reports accessible to a wide audience. To promote Kazakhstan's investment opportunities to foreign organizations and enhance Kazakhstan's status in international organizations, the Fund will provide expert support for analytical studies by international development organizations on MSMEs, such as "Financing MSMEs and Entrepreneurs" (OECD), "ASM Finance Review" (ADB), and others.</w:t>
      </w:r>
    </w:p>
    <w:p w14:paraId="33FC5552" w14:textId="77777777" w:rsidR="0037338A" w:rsidRPr="00CD5E54" w:rsidRDefault="0037338A" w:rsidP="0031388A">
      <w:pPr>
        <w:pStyle w:val="af1"/>
        <w:numPr>
          <w:ilvl w:val="0"/>
          <w:numId w:val="3"/>
        </w:numPr>
        <w:tabs>
          <w:tab w:val="left" w:pos="0"/>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u w:val="single"/>
          <w:lang w:val="en-US"/>
        </w:rPr>
        <w:t>The results of this work of the Fund will be measured by the following KPI</w:t>
      </w:r>
      <w:r w:rsidRPr="00CD5E54">
        <w:rPr>
          <w:rFonts w:ascii="Times New Roman" w:hAnsi="Times New Roman"/>
          <w:sz w:val="24"/>
          <w:szCs w:val="24"/>
          <w:lang w:val="en-US"/>
        </w:rPr>
        <w:t>:</w:t>
      </w:r>
    </w:p>
    <w:p w14:paraId="72620B38" w14:textId="77777777" w:rsidR="0037338A" w:rsidRPr="00CD5E54" w:rsidRDefault="0037338A" w:rsidP="00D6329B">
      <w:pPr>
        <w:tabs>
          <w:tab w:val="left" w:pos="426"/>
          <w:tab w:val="left" w:pos="709"/>
          <w:tab w:val="left" w:pos="851"/>
          <w:tab w:val="left" w:pos="1134"/>
        </w:tabs>
        <w:ind w:firstLine="567"/>
        <w:jc w:val="both"/>
        <w:rPr>
          <w:color w:val="auto"/>
          <w:lang w:val="en-US"/>
        </w:rPr>
      </w:pPr>
      <w:r w:rsidRPr="00CD5E54">
        <w:rPr>
          <w:color w:val="auto"/>
          <w:lang w:val="en-US"/>
        </w:rPr>
        <w:t>- assessment of trust and satisfaction of MSME entities with the activities of the Damu Fund at a level of no less than 95% by 2033.</w:t>
      </w:r>
    </w:p>
    <w:p w14:paraId="36555AC8" w14:textId="77777777" w:rsidR="00014C1A" w:rsidRPr="00CD5E54" w:rsidRDefault="00CA4656" w:rsidP="00CA4656">
      <w:pPr>
        <w:pageBreakBefore/>
        <w:jc w:val="center"/>
        <w:rPr>
          <w:rStyle w:val="s1"/>
          <w:color w:val="auto"/>
          <w:lang w:val="en-US"/>
        </w:rPr>
      </w:pPr>
      <w:bookmarkStart w:id="20" w:name="SUB400"/>
      <w:bookmarkEnd w:id="20"/>
      <w:r w:rsidRPr="00CD5E54">
        <w:rPr>
          <w:rStyle w:val="s1"/>
          <w:color w:val="auto"/>
          <w:lang w:val="en-US"/>
        </w:rPr>
        <w:lastRenderedPageBreak/>
        <w:t>Chapter 5. Strategic key performance indicators of the Damu Fund</w:t>
      </w:r>
    </w:p>
    <w:p w14:paraId="038872AB" w14:textId="77777777" w:rsidR="00014C1A" w:rsidRPr="00CD5E54" w:rsidRDefault="00014C1A">
      <w:pPr>
        <w:ind w:firstLine="426"/>
        <w:jc w:val="center"/>
        <w:rPr>
          <w:color w:val="auto"/>
          <w:lang w:val="en-US"/>
        </w:rPr>
      </w:pPr>
    </w:p>
    <w:p w14:paraId="24A3AC97" w14:textId="77777777" w:rsidR="00014C1A" w:rsidRPr="00CD5E54" w:rsidRDefault="00C361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Within each strategic direction, the Damu Fund will regularly monitor the achievement of set objectives using KPIs.</w:t>
      </w:r>
    </w:p>
    <w:tbl>
      <w:tblPr>
        <w:tblW w:w="5151" w:type="pct"/>
        <w:tblInd w:w="-294" w:type="dxa"/>
        <w:tblLayout w:type="fixed"/>
        <w:tblCellMar>
          <w:left w:w="0" w:type="dxa"/>
          <w:right w:w="0" w:type="dxa"/>
        </w:tblCellMar>
        <w:tblLook w:val="04A0" w:firstRow="1" w:lastRow="0" w:firstColumn="1" w:lastColumn="0" w:noHBand="0" w:noVBand="1"/>
      </w:tblPr>
      <w:tblGrid>
        <w:gridCol w:w="770"/>
        <w:gridCol w:w="3811"/>
        <w:gridCol w:w="4151"/>
        <w:gridCol w:w="1323"/>
      </w:tblGrid>
      <w:tr w:rsidR="00942363" w:rsidRPr="001F748C" w14:paraId="0C7F83E4" w14:textId="77777777" w:rsidTr="007F1268">
        <w:tc>
          <w:tcPr>
            <w:tcW w:w="38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620E59D" w14:textId="77777777" w:rsidR="00942363" w:rsidRPr="001F748C" w:rsidRDefault="00AE6E12" w:rsidP="006A4325">
            <w:pPr>
              <w:jc w:val="center"/>
              <w:rPr>
                <w:color w:val="auto"/>
              </w:rPr>
            </w:pPr>
            <w:r>
              <w:rPr>
                <w:color w:val="auto"/>
              </w:rPr>
              <w:t>No.</w:t>
            </w:r>
          </w:p>
        </w:tc>
        <w:tc>
          <w:tcPr>
            <w:tcW w:w="1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579D3" w14:textId="77777777" w:rsidR="00942363" w:rsidRPr="001F748C" w:rsidRDefault="00942363" w:rsidP="006A4325">
            <w:pPr>
              <w:jc w:val="center"/>
              <w:rPr>
                <w:color w:val="auto"/>
              </w:rPr>
            </w:pPr>
            <w:r w:rsidRPr="001F748C">
              <w:rPr>
                <w:b/>
                <w:bCs/>
                <w:color w:val="auto"/>
              </w:rPr>
              <w:t>Indicator</w:t>
            </w:r>
          </w:p>
        </w:tc>
        <w:tc>
          <w:tcPr>
            <w:tcW w:w="206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EF598F" w14:textId="77777777" w:rsidR="00942363" w:rsidRPr="001F748C" w:rsidRDefault="00942363" w:rsidP="006A4325">
            <w:pPr>
              <w:jc w:val="center"/>
              <w:rPr>
                <w:b/>
                <w:color w:val="auto"/>
                <w:lang w:val="kk-KZ"/>
              </w:rPr>
            </w:pPr>
            <w:r w:rsidRPr="001F748C">
              <w:rPr>
                <w:b/>
                <w:color w:val="auto"/>
                <w:lang w:val="kk-KZ"/>
              </w:rPr>
              <w:t>Calculation method</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4BAED8" w14:textId="77777777" w:rsidR="00942363" w:rsidRPr="001F748C" w:rsidRDefault="00942363" w:rsidP="00775C6C">
            <w:pPr>
              <w:jc w:val="center"/>
              <w:rPr>
                <w:color w:val="auto"/>
              </w:rPr>
            </w:pPr>
            <w:r w:rsidRPr="001F748C">
              <w:rPr>
                <w:b/>
                <w:bCs/>
                <w:color w:val="auto"/>
              </w:rPr>
              <w:t>2033</w:t>
            </w:r>
          </w:p>
        </w:tc>
      </w:tr>
      <w:tr w:rsidR="00942363" w:rsidRPr="00AB68BA" w14:paraId="77CF5589" w14:textId="77777777" w:rsidTr="007F1268">
        <w:tc>
          <w:tcPr>
            <w:tcW w:w="5000" w:type="pct"/>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2F37921" w14:textId="77777777" w:rsidR="00E0546D" w:rsidRPr="00CD5E54" w:rsidRDefault="00942363" w:rsidP="006A4325">
            <w:pPr>
              <w:jc w:val="center"/>
              <w:rPr>
                <w:b/>
                <w:bCs/>
                <w:color w:val="auto"/>
                <w:lang w:val="en-US"/>
              </w:rPr>
            </w:pPr>
            <w:r w:rsidRPr="00CD5E54">
              <w:rPr>
                <w:b/>
                <w:bCs/>
                <w:color w:val="auto"/>
                <w:lang w:val="en-US"/>
              </w:rPr>
              <w:t>STRATEGIC DIRECTION 1.</w:t>
            </w:r>
          </w:p>
          <w:p w14:paraId="217A9C6A" w14:textId="77777777" w:rsidR="00942363" w:rsidRPr="00CD5E54" w:rsidRDefault="00942363" w:rsidP="006A4325">
            <w:pPr>
              <w:jc w:val="center"/>
              <w:rPr>
                <w:b/>
                <w:bCs/>
                <w:color w:val="auto"/>
                <w:lang w:val="en-US"/>
              </w:rPr>
            </w:pPr>
            <w:r w:rsidRPr="00CD5E54">
              <w:rPr>
                <w:b/>
                <w:bCs/>
                <w:color w:val="auto"/>
                <w:lang w:val="en-US"/>
              </w:rPr>
              <w:t>Support and development of aspiring and existing micro, small and medium-sized businesses</w:t>
            </w:r>
          </w:p>
        </w:tc>
      </w:tr>
      <w:tr w:rsidR="00942363" w:rsidRPr="00AB68BA" w14:paraId="00145D47" w14:textId="77777777" w:rsidTr="007F126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7076" w14:textId="77777777" w:rsidR="00942363" w:rsidRPr="00CD5E54" w:rsidRDefault="00D125C7" w:rsidP="00D125C7">
            <w:pPr>
              <w:jc w:val="center"/>
              <w:rPr>
                <w:color w:val="auto"/>
                <w:lang w:val="en-US"/>
              </w:rPr>
            </w:pPr>
            <w:r w:rsidRPr="00CD5E54">
              <w:rPr>
                <w:b/>
                <w:bCs/>
                <w:color w:val="auto"/>
                <w:lang w:val="en-US"/>
              </w:rPr>
              <w:t>Ensuring accessibility of MSMEs to the Fund's financial programs</w:t>
            </w:r>
          </w:p>
        </w:tc>
      </w:tr>
      <w:tr w:rsidR="000506C7" w:rsidRPr="001F748C" w14:paraId="3CD36EE3"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B0A51" w14:textId="77777777" w:rsidR="000506C7" w:rsidRPr="001F748C" w:rsidRDefault="000506C7" w:rsidP="003F771E">
            <w:pPr>
              <w:jc w:val="center"/>
              <w:rPr>
                <w:color w:val="auto"/>
              </w:rPr>
            </w:pPr>
            <w:r w:rsidRPr="001F748C">
              <w:rPr>
                <w:b/>
                <w:bCs/>
                <w:color w:val="auto"/>
              </w:rPr>
              <w:t>1</w:t>
            </w:r>
          </w:p>
        </w:tc>
        <w:tc>
          <w:tcPr>
            <w:tcW w:w="1895" w:type="pct"/>
            <w:tcBorders>
              <w:top w:val="nil"/>
              <w:left w:val="nil"/>
              <w:bottom w:val="single" w:sz="8" w:space="0" w:color="auto"/>
              <w:right w:val="single" w:sz="8" w:space="0" w:color="auto"/>
            </w:tcBorders>
            <w:tcMar>
              <w:top w:w="0" w:type="dxa"/>
              <w:left w:w="108" w:type="dxa"/>
              <w:bottom w:w="0" w:type="dxa"/>
              <w:right w:w="108" w:type="dxa"/>
            </w:tcMar>
            <w:hideMark/>
          </w:tcPr>
          <w:p w14:paraId="61D78EA1" w14:textId="77777777" w:rsidR="000506C7" w:rsidRPr="00CD5E54" w:rsidRDefault="000506C7" w:rsidP="003F771E">
            <w:pPr>
              <w:rPr>
                <w:color w:val="auto"/>
                <w:lang w:val="en-US"/>
              </w:rPr>
            </w:pPr>
            <w:r w:rsidRPr="00CD5E54">
              <w:rPr>
                <w:color w:val="auto"/>
                <w:lang w:val="en-US"/>
              </w:rPr>
              <w:t>The share of MSME entities that received financial support to the total number of MSME entities operating in the market, %</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2587AFB9" w14:textId="77777777" w:rsidR="00D13A3B" w:rsidRPr="00CD5E54" w:rsidRDefault="00D13A3B" w:rsidP="00125511">
            <w:pPr>
              <w:rPr>
                <w:color w:val="auto"/>
                <w:lang w:val="en-US"/>
              </w:rPr>
            </w:pPr>
            <w:r w:rsidRPr="00CD5E54">
              <w:rPr>
                <w:color w:val="auto"/>
                <w:lang w:val="en-US"/>
              </w:rPr>
              <w:t>X/Y * 100%, where</w:t>
            </w:r>
          </w:p>
          <w:p w14:paraId="616D2200" w14:textId="77777777" w:rsidR="00D13A3B" w:rsidRPr="00CD5E54" w:rsidRDefault="00D13A3B" w:rsidP="00125511">
            <w:pPr>
              <w:rPr>
                <w:color w:val="auto"/>
                <w:lang w:val="en-US"/>
              </w:rPr>
            </w:pPr>
            <w:r w:rsidRPr="00CD5E54">
              <w:rPr>
                <w:color w:val="auto"/>
                <w:lang w:val="en-US"/>
              </w:rPr>
              <w:t>X – Number of unique MSME entities supported under the Fund’s financial programs with accumulation since 2024;</w:t>
            </w:r>
          </w:p>
          <w:p w14:paraId="32BE3304" w14:textId="77777777" w:rsidR="000506C7" w:rsidRPr="00CD5E54" w:rsidRDefault="00D13A3B" w:rsidP="005D554E">
            <w:pPr>
              <w:rPr>
                <w:color w:val="auto"/>
                <w:lang w:val="en-US"/>
              </w:rPr>
            </w:pPr>
            <w:r w:rsidRPr="00CD5E54">
              <w:rPr>
                <w:color w:val="auto"/>
                <w:lang w:val="en-US"/>
              </w:rPr>
              <w:t>Y – Number of operating MSME entities on the market at the end of the reporting period</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5B7F233" w14:textId="0A2F446A" w:rsidR="000506C7" w:rsidRPr="001F748C" w:rsidRDefault="00804E3C" w:rsidP="003F771E">
            <w:pPr>
              <w:jc w:val="center"/>
              <w:rPr>
                <w:color w:val="auto"/>
              </w:rPr>
            </w:pPr>
            <w:r>
              <w:rPr>
                <w:color w:val="auto"/>
              </w:rPr>
              <w:t>6</w:t>
            </w:r>
            <w:r w:rsidR="007F1268">
              <w:rPr>
                <w:color w:val="auto"/>
                <w:lang w:val="en-US"/>
              </w:rPr>
              <w:t>,</w:t>
            </w:r>
            <w:r>
              <w:rPr>
                <w:color w:val="auto"/>
              </w:rPr>
              <w:t>67%</w:t>
            </w:r>
          </w:p>
        </w:tc>
      </w:tr>
      <w:tr w:rsidR="00942363" w:rsidRPr="001F748C" w14:paraId="53D0836D"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1C492" w14:textId="77777777" w:rsidR="00942363" w:rsidRPr="001F748C" w:rsidRDefault="000506C7" w:rsidP="006A4325">
            <w:pPr>
              <w:jc w:val="center"/>
              <w:rPr>
                <w:color w:val="auto"/>
              </w:rPr>
            </w:pPr>
            <w:r w:rsidRPr="001F748C">
              <w:rPr>
                <w:b/>
                <w:bCs/>
                <w:color w:val="auto"/>
              </w:rPr>
              <w:t>2</w:t>
            </w:r>
          </w:p>
        </w:tc>
        <w:tc>
          <w:tcPr>
            <w:tcW w:w="1895" w:type="pct"/>
            <w:tcBorders>
              <w:top w:val="nil"/>
              <w:left w:val="nil"/>
              <w:bottom w:val="single" w:sz="8" w:space="0" w:color="auto"/>
              <w:right w:val="single" w:sz="8" w:space="0" w:color="auto"/>
            </w:tcBorders>
            <w:tcMar>
              <w:top w:w="0" w:type="dxa"/>
              <w:left w:w="108" w:type="dxa"/>
              <w:bottom w:w="0" w:type="dxa"/>
              <w:right w:w="108" w:type="dxa"/>
            </w:tcMar>
          </w:tcPr>
          <w:p w14:paraId="59EEE12A" w14:textId="77777777" w:rsidR="00942363" w:rsidRPr="00CD5E54" w:rsidRDefault="00F618CC" w:rsidP="006A4325">
            <w:pPr>
              <w:rPr>
                <w:color w:val="auto"/>
                <w:lang w:val="en-US"/>
              </w:rPr>
            </w:pPr>
            <w:r w:rsidRPr="00CD5E54">
              <w:rPr>
                <w:color w:val="auto"/>
                <w:lang w:val="en-US"/>
              </w:rPr>
              <w:t>The share of medium-sized entrepreneurs from the total number of supported entrepreneurs</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3C40F714" w14:textId="77777777" w:rsidR="00854E62" w:rsidRPr="00CD5E54" w:rsidRDefault="00854E62" w:rsidP="00125511">
            <w:pPr>
              <w:rPr>
                <w:color w:val="auto"/>
                <w:lang w:val="en-US"/>
              </w:rPr>
            </w:pPr>
            <w:r w:rsidRPr="00CD5E54">
              <w:rPr>
                <w:color w:val="auto"/>
                <w:lang w:val="en-US"/>
              </w:rPr>
              <w:t>X/Y * 100%, where</w:t>
            </w:r>
          </w:p>
          <w:p w14:paraId="2353868B" w14:textId="77777777" w:rsidR="00854E62" w:rsidRPr="00CD5E54" w:rsidRDefault="00854E62" w:rsidP="00125511">
            <w:pPr>
              <w:tabs>
                <w:tab w:val="left" w:pos="2820"/>
              </w:tabs>
              <w:rPr>
                <w:color w:val="auto"/>
                <w:lang w:val="en-US"/>
              </w:rPr>
            </w:pPr>
            <w:r w:rsidRPr="00CD5E54">
              <w:rPr>
                <w:color w:val="auto"/>
                <w:lang w:val="en-US"/>
              </w:rPr>
              <w:t>X – Number of supported projects of medium-sized entrepreneurs under the Fund’s financial programs;</w:t>
            </w:r>
          </w:p>
          <w:p w14:paraId="565D58E3" w14:textId="77777777" w:rsidR="00942363" w:rsidRPr="00CD5E54" w:rsidRDefault="00854E62" w:rsidP="0037297D">
            <w:pPr>
              <w:tabs>
                <w:tab w:val="left" w:pos="2820"/>
              </w:tabs>
              <w:rPr>
                <w:color w:val="auto"/>
                <w:lang w:val="en-US"/>
              </w:rPr>
            </w:pPr>
            <w:r w:rsidRPr="00CD5E54">
              <w:rPr>
                <w:color w:val="auto"/>
                <w:lang w:val="en-US"/>
              </w:rPr>
              <w:t>Y – Total number of MSME projects supported by the Fund’s financial programs</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627E6DD" w14:textId="77777777" w:rsidR="00942363" w:rsidRPr="001F748C" w:rsidRDefault="00804E3C" w:rsidP="006A4325">
            <w:pPr>
              <w:jc w:val="center"/>
              <w:rPr>
                <w:color w:val="auto"/>
              </w:rPr>
            </w:pPr>
            <w:r>
              <w:rPr>
                <w:color w:val="auto"/>
              </w:rPr>
              <w:t>4%</w:t>
            </w:r>
          </w:p>
        </w:tc>
      </w:tr>
      <w:tr w:rsidR="00942363" w:rsidRPr="00AB68BA" w14:paraId="478C97EF" w14:textId="77777777" w:rsidTr="007F126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14ECFF5" w14:textId="77777777" w:rsidR="00942363" w:rsidRPr="00CD5E54" w:rsidRDefault="006D5675" w:rsidP="006A4325">
            <w:pPr>
              <w:jc w:val="center"/>
              <w:rPr>
                <w:color w:val="auto"/>
                <w:lang w:val="en-US"/>
              </w:rPr>
            </w:pPr>
            <w:r w:rsidRPr="00CD5E54">
              <w:rPr>
                <w:b/>
                <w:bCs/>
                <w:color w:val="auto"/>
                <w:lang w:val="en-US"/>
              </w:rPr>
              <w:t>Ensuring increased economic efficiency of supported MSMEs</w:t>
            </w:r>
          </w:p>
        </w:tc>
      </w:tr>
      <w:tr w:rsidR="00C761EA" w:rsidRPr="001F748C" w14:paraId="2DD6ABD3"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92EC" w14:textId="77777777" w:rsidR="00C761EA" w:rsidRPr="001F748C" w:rsidRDefault="00E95B30" w:rsidP="003F771E">
            <w:pPr>
              <w:jc w:val="center"/>
              <w:rPr>
                <w:b/>
                <w:color w:val="auto"/>
              </w:rPr>
            </w:pPr>
            <w:r>
              <w:rPr>
                <w:b/>
                <w:bCs/>
                <w:color w:val="auto"/>
              </w:rPr>
              <w:t>3</w:t>
            </w:r>
          </w:p>
        </w:tc>
        <w:tc>
          <w:tcPr>
            <w:tcW w:w="1895" w:type="pct"/>
            <w:tcBorders>
              <w:top w:val="nil"/>
              <w:left w:val="nil"/>
              <w:bottom w:val="single" w:sz="8" w:space="0" w:color="auto"/>
              <w:right w:val="single" w:sz="8" w:space="0" w:color="auto"/>
            </w:tcBorders>
            <w:tcMar>
              <w:top w:w="0" w:type="dxa"/>
              <w:left w:w="108" w:type="dxa"/>
              <w:bottom w:w="0" w:type="dxa"/>
              <w:right w:w="108" w:type="dxa"/>
            </w:tcMar>
            <w:hideMark/>
          </w:tcPr>
          <w:p w14:paraId="58EA7100" w14:textId="77777777" w:rsidR="00C761EA" w:rsidRPr="00CD5E54" w:rsidRDefault="00C761EA" w:rsidP="00157BDD">
            <w:pPr>
              <w:rPr>
                <w:color w:val="auto"/>
                <w:lang w:val="en-US"/>
              </w:rPr>
            </w:pPr>
            <w:r w:rsidRPr="00CD5E54">
              <w:rPr>
                <w:color w:val="auto"/>
                <w:lang w:val="en-US"/>
              </w:rPr>
              <w:t>Revenue volume of enterprises that received support from the Fund (in 2033 with accumulation since 2024), billion tenge</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34FE0436" w14:textId="77777777" w:rsidR="00C761EA" w:rsidRPr="00CD5E54" w:rsidRDefault="00C761EA" w:rsidP="00125511">
            <w:pPr>
              <w:rPr>
                <w:color w:val="auto"/>
                <w:lang w:val="en-US"/>
              </w:rPr>
            </w:pPr>
            <w:r w:rsidRPr="00CD5E54">
              <w:rPr>
                <w:color w:val="auto"/>
                <w:lang w:val="en-US"/>
              </w:rPr>
              <w:t>The total revenue of enterprises for the reporting period that received support from the Fund</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FF46516" w14:textId="77777777" w:rsidR="00C761EA" w:rsidRPr="00804E3C" w:rsidRDefault="00157BDD" w:rsidP="003F771E">
            <w:pPr>
              <w:jc w:val="center"/>
              <w:rPr>
                <w:color w:val="auto"/>
                <w:highlight w:val="yellow"/>
              </w:rPr>
            </w:pPr>
            <w:r>
              <w:rPr>
                <w:color w:val="auto"/>
              </w:rPr>
              <w:t>202 017</w:t>
            </w:r>
          </w:p>
        </w:tc>
      </w:tr>
      <w:tr w:rsidR="00C761EA" w:rsidRPr="001F748C" w14:paraId="57813FE6"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8A8549" w14:textId="77777777" w:rsidR="00C761EA" w:rsidRPr="001F748C" w:rsidRDefault="00E95B30" w:rsidP="00C761EA">
            <w:pPr>
              <w:jc w:val="center"/>
              <w:rPr>
                <w:b/>
                <w:bCs/>
                <w:color w:val="auto"/>
              </w:rPr>
            </w:pPr>
            <w:r>
              <w:rPr>
                <w:b/>
                <w:bCs/>
                <w:color w:val="auto"/>
              </w:rPr>
              <w:t>4</w:t>
            </w:r>
          </w:p>
        </w:tc>
        <w:tc>
          <w:tcPr>
            <w:tcW w:w="1895" w:type="pct"/>
            <w:tcBorders>
              <w:top w:val="nil"/>
              <w:left w:val="nil"/>
              <w:bottom w:val="single" w:sz="8" w:space="0" w:color="auto"/>
              <w:right w:val="single" w:sz="8" w:space="0" w:color="auto"/>
            </w:tcBorders>
            <w:tcMar>
              <w:top w:w="0" w:type="dxa"/>
              <w:left w:w="108" w:type="dxa"/>
              <w:bottom w:w="0" w:type="dxa"/>
              <w:right w:w="108" w:type="dxa"/>
            </w:tcMar>
          </w:tcPr>
          <w:p w14:paraId="20280DE0" w14:textId="77777777" w:rsidR="00C761EA" w:rsidRPr="00CD5E54" w:rsidRDefault="00C761EA" w:rsidP="00C761EA">
            <w:pPr>
              <w:rPr>
                <w:color w:val="auto"/>
                <w:lang w:val="en-US"/>
              </w:rPr>
            </w:pPr>
            <w:r w:rsidRPr="00CD5E54">
              <w:rPr>
                <w:color w:val="auto"/>
                <w:lang w:val="en-US"/>
              </w:rPr>
              <w:t>Increase in taxes paid by businesses that received support from the Fund, billion tenge</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3BA9015F" w14:textId="77777777" w:rsidR="00C761EA" w:rsidRPr="00CD5E54" w:rsidRDefault="00544D32" w:rsidP="00125511">
            <w:pPr>
              <w:rPr>
                <w:color w:val="auto"/>
                <w:lang w:val="en-US"/>
              </w:rPr>
            </w:pPr>
            <w:r w:rsidRPr="00CD5E54">
              <w:rPr>
                <w:color w:val="auto"/>
                <w:lang w:val="en-US"/>
              </w:rPr>
              <w:t>The amount of taxes of participants in financial support programs in the reporting year is the amount of taxes of participants in financial support programs in the previous year</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5DA67FCA" w14:textId="77777777" w:rsidR="00C761EA" w:rsidRPr="001F748C" w:rsidRDefault="00804E3C" w:rsidP="00C761EA">
            <w:pPr>
              <w:jc w:val="center"/>
              <w:rPr>
                <w:color w:val="auto"/>
              </w:rPr>
            </w:pPr>
            <w:r>
              <w:rPr>
                <w:color w:val="auto"/>
              </w:rPr>
              <w:t>200</w:t>
            </w:r>
          </w:p>
        </w:tc>
      </w:tr>
      <w:tr w:rsidR="00C761EA" w:rsidRPr="001F748C" w14:paraId="040405AE"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D3A64" w14:textId="77777777" w:rsidR="00C761EA" w:rsidRPr="001F748C" w:rsidRDefault="00E95B30" w:rsidP="00C761EA">
            <w:pPr>
              <w:jc w:val="center"/>
              <w:rPr>
                <w:b/>
                <w:color w:val="auto"/>
              </w:rPr>
            </w:pPr>
            <w:r>
              <w:rPr>
                <w:b/>
                <w:color w:val="auto"/>
              </w:rPr>
              <w:t>5</w:t>
            </w:r>
          </w:p>
        </w:tc>
        <w:tc>
          <w:tcPr>
            <w:tcW w:w="1895" w:type="pct"/>
            <w:tcBorders>
              <w:top w:val="nil"/>
              <w:left w:val="nil"/>
              <w:bottom w:val="single" w:sz="8" w:space="0" w:color="auto"/>
              <w:right w:val="single" w:sz="8" w:space="0" w:color="auto"/>
            </w:tcBorders>
            <w:tcMar>
              <w:top w:w="0" w:type="dxa"/>
              <w:left w:w="108" w:type="dxa"/>
              <w:bottom w:w="0" w:type="dxa"/>
              <w:right w:w="108" w:type="dxa"/>
            </w:tcMar>
          </w:tcPr>
          <w:p w14:paraId="2335CE05" w14:textId="77777777" w:rsidR="00C761EA" w:rsidRPr="00CD5E54" w:rsidRDefault="006D5675" w:rsidP="00C761EA">
            <w:pPr>
              <w:rPr>
                <w:color w:val="auto"/>
                <w:lang w:val="en-US"/>
              </w:rPr>
            </w:pPr>
            <w:r w:rsidRPr="00CD5E54">
              <w:rPr>
                <w:color w:val="auto"/>
                <w:lang w:val="en-US"/>
              </w:rPr>
              <w:t>Jobs created by businesses that received support from the Damu Fund; for the year</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622D586D" w14:textId="77777777" w:rsidR="00C761EA" w:rsidRPr="00CD5E54" w:rsidRDefault="006D5675" w:rsidP="00125511">
            <w:pPr>
              <w:rPr>
                <w:color w:val="auto"/>
                <w:lang w:val="en-US"/>
              </w:rPr>
            </w:pPr>
            <w:r w:rsidRPr="00CD5E54">
              <w:rPr>
                <w:color w:val="auto"/>
                <w:lang w:val="en-US"/>
              </w:rPr>
              <w:t>The number of jobs created during the reporting period by business entities that received support from the Fund</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0A639CC" w14:textId="53031A38" w:rsidR="00C761EA" w:rsidRPr="001F748C" w:rsidRDefault="00804E3C" w:rsidP="00C761EA">
            <w:pPr>
              <w:jc w:val="center"/>
              <w:rPr>
                <w:color w:val="auto"/>
              </w:rPr>
            </w:pPr>
            <w:r>
              <w:rPr>
                <w:color w:val="auto"/>
              </w:rPr>
              <w:t>15</w:t>
            </w:r>
            <w:r w:rsidR="007F1268">
              <w:rPr>
                <w:color w:val="auto"/>
                <w:lang w:val="en-US"/>
              </w:rPr>
              <w:t xml:space="preserve"> </w:t>
            </w:r>
            <w:r>
              <w:rPr>
                <w:color w:val="auto"/>
              </w:rPr>
              <w:t>800</w:t>
            </w:r>
          </w:p>
        </w:tc>
      </w:tr>
      <w:tr w:rsidR="00C761EA" w:rsidRPr="00AB68BA" w14:paraId="017FEAB1" w14:textId="77777777" w:rsidTr="007F126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95A8B07" w14:textId="77777777" w:rsidR="00C761EA" w:rsidRPr="00CD5E54" w:rsidRDefault="00C761EA" w:rsidP="00C761EA">
            <w:pPr>
              <w:jc w:val="center"/>
              <w:rPr>
                <w:b/>
                <w:bCs/>
                <w:color w:val="auto"/>
                <w:lang w:val="en-US"/>
              </w:rPr>
            </w:pPr>
            <w:r w:rsidRPr="00CD5E54">
              <w:rPr>
                <w:b/>
                <w:bCs/>
                <w:color w:val="auto"/>
                <w:lang w:val="en-US"/>
              </w:rPr>
              <w:t>STRATEGIC DIRECTION 2.</w:t>
            </w:r>
          </w:p>
          <w:p w14:paraId="11944DF8" w14:textId="77777777" w:rsidR="00C761EA" w:rsidRPr="00CD5E54" w:rsidRDefault="00C761EA" w:rsidP="00E30D12">
            <w:pPr>
              <w:jc w:val="center"/>
              <w:rPr>
                <w:color w:val="auto"/>
                <w:lang w:val="en-US"/>
              </w:rPr>
            </w:pPr>
            <w:r w:rsidRPr="00CD5E54">
              <w:rPr>
                <w:b/>
                <w:bCs/>
                <w:color w:val="auto"/>
                <w:lang w:val="en-US"/>
              </w:rPr>
              <w:t>Sustainable institutional development of the Damu Fund</w:t>
            </w:r>
          </w:p>
        </w:tc>
      </w:tr>
      <w:tr w:rsidR="00C761EA" w:rsidRPr="00AB68BA" w14:paraId="7E65DF26" w14:textId="77777777" w:rsidTr="007F126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35B3DFD" w14:textId="77777777" w:rsidR="00C761EA" w:rsidRPr="00CD5E54" w:rsidRDefault="006737BC" w:rsidP="00C761EA">
            <w:pPr>
              <w:jc w:val="center"/>
              <w:rPr>
                <w:color w:val="auto"/>
                <w:lang w:val="en-US"/>
              </w:rPr>
            </w:pPr>
            <w:r w:rsidRPr="00CD5E54">
              <w:rPr>
                <w:b/>
                <w:bCs/>
                <w:color w:val="auto"/>
                <w:lang w:val="en-US"/>
              </w:rPr>
              <w:t>Improving the level of sustainable development</w:t>
            </w:r>
          </w:p>
        </w:tc>
      </w:tr>
      <w:tr w:rsidR="00C761EA" w:rsidRPr="00D20779" w14:paraId="0B05D661" w14:textId="77777777" w:rsidTr="007F1268">
        <w:tc>
          <w:tcPr>
            <w:tcW w:w="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EA666" w14:textId="77777777" w:rsidR="00C761EA" w:rsidRPr="00D20779" w:rsidRDefault="00E95B30" w:rsidP="00C761EA">
            <w:pPr>
              <w:jc w:val="center"/>
              <w:rPr>
                <w:color w:val="auto"/>
              </w:rPr>
            </w:pPr>
            <w:r w:rsidRPr="00D20779">
              <w:rPr>
                <w:color w:val="auto"/>
              </w:rPr>
              <w:t>6</w:t>
            </w:r>
          </w:p>
        </w:tc>
        <w:tc>
          <w:tcPr>
            <w:tcW w:w="1895" w:type="pct"/>
            <w:tcBorders>
              <w:top w:val="nil"/>
              <w:left w:val="nil"/>
              <w:bottom w:val="single" w:sz="8" w:space="0" w:color="auto"/>
              <w:right w:val="single" w:sz="8" w:space="0" w:color="auto"/>
            </w:tcBorders>
            <w:tcMar>
              <w:top w:w="0" w:type="dxa"/>
              <w:left w:w="108" w:type="dxa"/>
              <w:bottom w:w="0" w:type="dxa"/>
              <w:right w:w="108" w:type="dxa"/>
            </w:tcMar>
            <w:hideMark/>
          </w:tcPr>
          <w:p w14:paraId="09B2589F" w14:textId="77777777" w:rsidR="00C761EA" w:rsidRPr="00D20779" w:rsidRDefault="006737BC" w:rsidP="00C761EA">
            <w:pPr>
              <w:rPr>
                <w:color w:val="auto"/>
              </w:rPr>
            </w:pPr>
            <w:r w:rsidRPr="00D20779">
              <w:rPr>
                <w:color w:val="auto"/>
              </w:rPr>
              <w:t>Sustainable Development Rating</w:t>
            </w:r>
          </w:p>
        </w:tc>
        <w:tc>
          <w:tcPr>
            <w:tcW w:w="2064" w:type="pct"/>
            <w:tcBorders>
              <w:top w:val="nil"/>
              <w:left w:val="nil"/>
              <w:bottom w:val="single" w:sz="8" w:space="0" w:color="auto"/>
              <w:right w:val="single" w:sz="8" w:space="0" w:color="auto"/>
            </w:tcBorders>
            <w:tcMar>
              <w:top w:w="0" w:type="dxa"/>
              <w:left w:w="108" w:type="dxa"/>
              <w:bottom w:w="0" w:type="dxa"/>
              <w:right w:w="108" w:type="dxa"/>
            </w:tcMar>
          </w:tcPr>
          <w:p w14:paraId="19FE7CC4" w14:textId="77777777" w:rsidR="00C761EA" w:rsidRPr="00CD5E54" w:rsidRDefault="006737BC" w:rsidP="00125511">
            <w:pPr>
              <w:rPr>
                <w:color w:val="auto"/>
                <w:lang w:val="en-US"/>
              </w:rPr>
            </w:pPr>
            <w:r w:rsidRPr="00CD5E54">
              <w:rPr>
                <w:color w:val="auto"/>
                <w:lang w:val="en-US"/>
              </w:rPr>
              <w:t>Sustainable Development Rating received from an international rating agency</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3053D19" w14:textId="77777777" w:rsidR="00C761EA" w:rsidRPr="00D20779" w:rsidRDefault="00804E3C" w:rsidP="00C761EA">
            <w:pPr>
              <w:jc w:val="center"/>
              <w:rPr>
                <w:color w:val="auto"/>
              </w:rPr>
            </w:pPr>
            <w:r>
              <w:rPr>
                <w:color w:val="auto"/>
              </w:rPr>
              <w:t>43</w:t>
            </w:r>
          </w:p>
        </w:tc>
      </w:tr>
      <w:tr w:rsidR="00C761EA" w:rsidRPr="00AB68BA" w14:paraId="21AFF753" w14:textId="77777777" w:rsidTr="007F126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9FE0919" w14:textId="77777777" w:rsidR="00C761EA" w:rsidRPr="00CD5E54" w:rsidRDefault="00C761EA" w:rsidP="00C761EA">
            <w:pPr>
              <w:jc w:val="center"/>
              <w:rPr>
                <w:color w:val="auto"/>
                <w:lang w:val="en-US"/>
              </w:rPr>
            </w:pPr>
            <w:r w:rsidRPr="00CD5E54">
              <w:rPr>
                <w:b/>
                <w:bCs/>
                <w:color w:val="auto"/>
                <w:lang w:val="en-US"/>
              </w:rPr>
              <w:t>Improving the level of corporate governance</w:t>
            </w:r>
          </w:p>
        </w:tc>
      </w:tr>
      <w:tr w:rsidR="00C761EA" w:rsidRPr="001F748C" w14:paraId="55F851C5" w14:textId="77777777" w:rsidTr="007F1268">
        <w:tc>
          <w:tcPr>
            <w:tcW w:w="38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AFEC90" w14:textId="77777777" w:rsidR="00C761EA" w:rsidRPr="00D20779" w:rsidRDefault="009553DF" w:rsidP="00C761EA">
            <w:pPr>
              <w:jc w:val="center"/>
              <w:rPr>
                <w:color w:val="auto"/>
              </w:rPr>
            </w:pPr>
            <w:r w:rsidRPr="00D20779">
              <w:rPr>
                <w:b/>
                <w:bCs/>
                <w:color w:val="auto"/>
              </w:rPr>
              <w:t>7</w:t>
            </w:r>
          </w:p>
        </w:tc>
        <w:tc>
          <w:tcPr>
            <w:tcW w:w="1895" w:type="pct"/>
            <w:tcBorders>
              <w:top w:val="nil"/>
              <w:left w:val="nil"/>
              <w:bottom w:val="single" w:sz="4" w:space="0" w:color="auto"/>
              <w:right w:val="single" w:sz="8" w:space="0" w:color="auto"/>
            </w:tcBorders>
            <w:tcMar>
              <w:top w:w="0" w:type="dxa"/>
              <w:left w:w="108" w:type="dxa"/>
              <w:bottom w:w="0" w:type="dxa"/>
              <w:right w:w="108" w:type="dxa"/>
            </w:tcMar>
            <w:hideMark/>
          </w:tcPr>
          <w:p w14:paraId="5613401B" w14:textId="77777777" w:rsidR="00C761EA" w:rsidRPr="00CD5E54" w:rsidRDefault="006737BC" w:rsidP="00C761EA">
            <w:pPr>
              <w:rPr>
                <w:color w:val="auto"/>
                <w:lang w:val="en-US"/>
              </w:rPr>
            </w:pPr>
            <w:r w:rsidRPr="00CD5E54">
              <w:rPr>
                <w:color w:val="auto"/>
                <w:lang w:val="en-US"/>
              </w:rPr>
              <w:t>Assessment of trust and satisfaction of MSME entities with the activities of JSC "Damu Entrepreneurship Development Fund", %</w:t>
            </w:r>
          </w:p>
        </w:tc>
        <w:tc>
          <w:tcPr>
            <w:tcW w:w="2064" w:type="pct"/>
            <w:tcBorders>
              <w:top w:val="nil"/>
              <w:left w:val="nil"/>
              <w:bottom w:val="single" w:sz="4" w:space="0" w:color="auto"/>
              <w:right w:val="single" w:sz="8" w:space="0" w:color="auto"/>
            </w:tcBorders>
            <w:tcMar>
              <w:top w:w="0" w:type="dxa"/>
              <w:left w:w="108" w:type="dxa"/>
              <w:bottom w:w="0" w:type="dxa"/>
              <w:right w:w="108" w:type="dxa"/>
            </w:tcMar>
          </w:tcPr>
          <w:p w14:paraId="3B8F25F3" w14:textId="77777777" w:rsidR="00C761EA" w:rsidRPr="00CD5E54" w:rsidRDefault="00C761EA" w:rsidP="00125511">
            <w:pPr>
              <w:rPr>
                <w:color w:val="auto"/>
                <w:lang w:val="en-US"/>
              </w:rPr>
            </w:pPr>
            <w:r w:rsidRPr="00CD5E54">
              <w:rPr>
                <w:color w:val="auto"/>
                <w:lang w:val="en-US"/>
              </w:rPr>
              <w:t>An assessment of the level of trust and satisfaction of MSME entities with the Fund's activities, carried out through an independent company</w:t>
            </w:r>
          </w:p>
        </w:tc>
        <w:tc>
          <w:tcPr>
            <w:tcW w:w="658" w:type="pct"/>
            <w:tcBorders>
              <w:top w:val="nil"/>
              <w:left w:val="nil"/>
              <w:bottom w:val="single" w:sz="4" w:space="0" w:color="auto"/>
              <w:right w:val="single" w:sz="8" w:space="0" w:color="auto"/>
            </w:tcBorders>
            <w:tcMar>
              <w:top w:w="0" w:type="dxa"/>
              <w:left w:w="108" w:type="dxa"/>
              <w:bottom w:w="0" w:type="dxa"/>
              <w:right w:w="108" w:type="dxa"/>
            </w:tcMar>
            <w:hideMark/>
          </w:tcPr>
          <w:p w14:paraId="7DAFA275" w14:textId="77777777" w:rsidR="00C761EA" w:rsidRPr="001F748C" w:rsidRDefault="00C761EA" w:rsidP="009B477A">
            <w:pPr>
              <w:jc w:val="center"/>
              <w:rPr>
                <w:color w:val="auto"/>
              </w:rPr>
            </w:pPr>
            <w:r w:rsidRPr="00D20779">
              <w:rPr>
                <w:color w:val="auto"/>
              </w:rPr>
              <w:t>at least 95%</w:t>
            </w:r>
          </w:p>
        </w:tc>
      </w:tr>
    </w:tbl>
    <w:p w14:paraId="3265E8BB" w14:textId="77777777" w:rsidR="00014C1A" w:rsidRPr="001F748C" w:rsidRDefault="00003B0B" w:rsidP="003765F6">
      <w:pPr>
        <w:pageBreakBefore/>
        <w:jc w:val="center"/>
        <w:rPr>
          <w:rStyle w:val="s1"/>
          <w:color w:val="auto"/>
        </w:rPr>
      </w:pPr>
      <w:bookmarkStart w:id="21" w:name="SUB20"/>
      <w:bookmarkEnd w:id="21"/>
      <w:r w:rsidRPr="001F748C">
        <w:rPr>
          <w:rStyle w:val="s1"/>
          <w:color w:val="auto"/>
        </w:rPr>
        <w:lastRenderedPageBreak/>
        <w:t>Conclusion</w:t>
      </w:r>
    </w:p>
    <w:p w14:paraId="0A9E1292" w14:textId="77777777" w:rsidR="00014C1A" w:rsidRPr="001F748C" w:rsidRDefault="00014C1A">
      <w:pPr>
        <w:ind w:firstLine="426"/>
        <w:jc w:val="center"/>
        <w:rPr>
          <w:color w:val="auto"/>
        </w:rPr>
      </w:pPr>
    </w:p>
    <w:p w14:paraId="6D3B2D33" w14:textId="77777777" w:rsidR="00014C1A" w:rsidRPr="00CD5E54"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Fund's development strategy is aimed at advancing Kazakhstan's MSME sector and builds on the successful and effective implementation of both state and domestic MSME development programs. The Fund has over twenty-five years of experience providing financial and non-financial support to MSMEs, as well as a number of other strengths that will be leveraged to enhance the effective implementation of the Development Strategy and achieve its goals and objectives.</w:t>
      </w:r>
    </w:p>
    <w:p w14:paraId="1241E648" w14:textId="77777777" w:rsidR="00014C1A" w:rsidRPr="00CD5E54"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To ensure widespread coverage of the Fund's financial instruments, within the framework of its Development Strategy, the Fund will continue to operate under existing conditional loan programs through partners, increasing the volume of financing for micro, small, and medium-sized enterprises. The Fund will also implement tools to increase the accessibility of financing programs, including interest rate subsidies (with a gradual reduction in the subsidy amount) and guarantees for liabilities. In terms of guarantees, the Fund will utilize both its existing guarantee instrument and expand the scope of guarantees, achieving the status of the Guarantee Fund for Support of Small, Medium, and Medium-Sized Enterprises (MSMEs), the primary guarantee instrument operator in the country.</w:t>
      </w:r>
    </w:p>
    <w:p w14:paraId="052C0917" w14:textId="77777777" w:rsidR="00014C1A" w:rsidRPr="00CD5E54"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One of the Fund's priority areas of activity, given the strategic objective of increasing the share of MSMEs, including medium-sized entrepreneurs, covered by financial programs, is increasing the volume of borrowed funds and diversifying funding sources.</w:t>
      </w:r>
    </w:p>
    <w:p w14:paraId="05655BED" w14:textId="77777777" w:rsidR="002A4664" w:rsidRPr="00CD5E54"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Furthermore, as part of its strategic focus on improving its sustainability rating, the Fund plans to actively integrate the terms and requirements for achieving sustainability goals within the framework of ESG initiatives into the terms of its support instruments, as well as into all internal principles and policies.</w:t>
      </w:r>
    </w:p>
    <w:p w14:paraId="1C8438CA" w14:textId="77777777" w:rsidR="007216B2" w:rsidRPr="00CD5E54"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The Damu Fund will continue to support and develop entrepreneurship in Kazakhstan, as well as improve its own efficiency and transparency.</w:t>
      </w:r>
    </w:p>
    <w:p w14:paraId="17835EDF" w14:textId="77777777" w:rsidR="00014C1A" w:rsidRPr="00CD5E54" w:rsidRDefault="00B4249D"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en-US"/>
        </w:rPr>
      </w:pPr>
      <w:r w:rsidRPr="00CD5E54">
        <w:rPr>
          <w:rFonts w:ascii="Times New Roman" w:hAnsi="Times New Roman"/>
          <w:sz w:val="24"/>
          <w:szCs w:val="24"/>
          <w:lang w:val="en-US"/>
        </w:rPr>
        <w:t>As a result of the implementation of the Development Strategy, the Fund will be positioned as a national development institution providing comprehensive financial and non-financial support to the country's entrepreneurs.</w:t>
      </w:r>
    </w:p>
    <w:p w14:paraId="25DB6169" w14:textId="77777777" w:rsidR="002E6FC4" w:rsidRPr="00CD5E54" w:rsidRDefault="002E6FC4">
      <w:pPr>
        <w:ind w:firstLine="426"/>
        <w:jc w:val="both"/>
        <w:rPr>
          <w:color w:val="auto"/>
          <w:lang w:val="en-US"/>
        </w:rPr>
      </w:pPr>
    </w:p>
    <w:p w14:paraId="6C34CF29" w14:textId="77777777" w:rsidR="002E6FC4" w:rsidRPr="00CD5E54" w:rsidRDefault="002E6FC4">
      <w:pPr>
        <w:ind w:firstLine="426"/>
        <w:jc w:val="both"/>
        <w:rPr>
          <w:color w:val="auto"/>
          <w:lang w:val="en-US"/>
        </w:rPr>
      </w:pPr>
    </w:p>
    <w:p w14:paraId="40FC45D1" w14:textId="77777777" w:rsidR="002E6FC4" w:rsidRPr="00CD5E54" w:rsidRDefault="002E6FC4">
      <w:pPr>
        <w:ind w:firstLine="426"/>
        <w:jc w:val="both"/>
        <w:rPr>
          <w:color w:val="auto"/>
          <w:lang w:val="en-US"/>
        </w:rPr>
      </w:pPr>
    </w:p>
    <w:p w14:paraId="290F2863" w14:textId="77777777" w:rsidR="002E6FC4" w:rsidRPr="00CD5E54" w:rsidRDefault="002E6FC4">
      <w:pPr>
        <w:ind w:firstLine="426"/>
        <w:jc w:val="both"/>
        <w:rPr>
          <w:color w:val="auto"/>
          <w:lang w:val="en-US"/>
        </w:rPr>
      </w:pPr>
    </w:p>
    <w:p w14:paraId="458D200D" w14:textId="77777777" w:rsidR="002E6FC4" w:rsidRPr="00CD5E54" w:rsidRDefault="002E6FC4">
      <w:pPr>
        <w:ind w:firstLine="426"/>
        <w:jc w:val="both"/>
        <w:rPr>
          <w:color w:val="auto"/>
          <w:lang w:val="en-US"/>
        </w:rPr>
      </w:pPr>
    </w:p>
    <w:p w14:paraId="52137481" w14:textId="77777777" w:rsidR="002E6FC4" w:rsidRPr="00CD5E54" w:rsidRDefault="002E6FC4">
      <w:pPr>
        <w:ind w:firstLine="426"/>
        <w:jc w:val="both"/>
        <w:rPr>
          <w:color w:val="auto"/>
          <w:lang w:val="en-US"/>
        </w:rPr>
      </w:pPr>
    </w:p>
    <w:p w14:paraId="4F695446" w14:textId="77777777" w:rsidR="002E6FC4" w:rsidRPr="00CD5E54" w:rsidRDefault="002E6FC4">
      <w:pPr>
        <w:ind w:firstLine="426"/>
        <w:jc w:val="both"/>
        <w:rPr>
          <w:color w:val="auto"/>
          <w:lang w:val="en-US"/>
        </w:rPr>
      </w:pPr>
    </w:p>
    <w:p w14:paraId="16D2F259" w14:textId="77777777" w:rsidR="002E6FC4" w:rsidRPr="00CD5E54" w:rsidRDefault="002E6FC4">
      <w:pPr>
        <w:ind w:firstLine="426"/>
        <w:jc w:val="both"/>
        <w:rPr>
          <w:color w:val="auto"/>
          <w:lang w:val="en-US"/>
        </w:rPr>
      </w:pPr>
    </w:p>
    <w:p w14:paraId="35A80FE8" w14:textId="77777777" w:rsidR="00014C1A" w:rsidRPr="00CD5E54" w:rsidRDefault="00014C1A">
      <w:pPr>
        <w:ind w:firstLine="426"/>
        <w:jc w:val="both"/>
        <w:rPr>
          <w:color w:val="auto"/>
          <w:lang w:val="en-US"/>
        </w:rPr>
      </w:pPr>
    </w:p>
    <w:p w14:paraId="0B770D61" w14:textId="77777777" w:rsidR="00014C1A" w:rsidRPr="001F748C" w:rsidRDefault="00003B0B" w:rsidP="008E5635">
      <w:pPr>
        <w:pageBreakBefore/>
        <w:ind w:firstLine="425"/>
        <w:jc w:val="both"/>
        <w:rPr>
          <w:color w:val="auto"/>
        </w:rPr>
      </w:pPr>
      <w:bookmarkStart w:id="22" w:name="SUB1"/>
      <w:bookmarkEnd w:id="22"/>
      <w:r w:rsidRPr="001F748C">
        <w:rPr>
          <w:b/>
          <w:bCs/>
          <w:color w:val="auto"/>
        </w:rPr>
        <w:lastRenderedPageBreak/>
        <w:t>Explanation of abbreviations:</w:t>
      </w:r>
    </w:p>
    <w:p w14:paraId="7148EA66" w14:textId="77777777" w:rsidR="00014C1A" w:rsidRPr="001F748C" w:rsidRDefault="00014C1A">
      <w:pPr>
        <w:ind w:firstLine="426"/>
        <w:jc w:val="both"/>
        <w:rPr>
          <w:color w:val="auto"/>
        </w:rPr>
      </w:pPr>
    </w:p>
    <w:tbl>
      <w:tblPr>
        <w:tblW w:w="4967" w:type="pct"/>
        <w:tblCellMar>
          <w:left w:w="0" w:type="dxa"/>
          <w:right w:w="0" w:type="dxa"/>
        </w:tblCellMar>
        <w:tblLook w:val="04A0" w:firstRow="1" w:lastRow="0" w:firstColumn="1" w:lastColumn="0" w:noHBand="0" w:noVBand="1"/>
      </w:tblPr>
      <w:tblGrid>
        <w:gridCol w:w="2806"/>
        <w:gridCol w:w="6890"/>
      </w:tblGrid>
      <w:tr w:rsidR="00014C1A" w:rsidRPr="001F748C" w14:paraId="3465916E" w14:textId="77777777" w:rsidTr="005A2E06">
        <w:trPr>
          <w:trHeight w:val="20"/>
        </w:trPr>
        <w:tc>
          <w:tcPr>
            <w:tcW w:w="144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155532AF" w14:textId="69D2170C" w:rsidR="00014C1A" w:rsidRPr="00335E3A" w:rsidRDefault="00335E3A">
            <w:pPr>
              <w:rPr>
                <w:color w:val="auto"/>
                <w:lang w:val="en-US"/>
              </w:rPr>
            </w:pPr>
            <w:r>
              <w:rPr>
                <w:b/>
                <w:bCs/>
                <w:color w:val="auto"/>
                <w:lang w:val="en-US"/>
              </w:rPr>
              <w:t>ADB</w:t>
            </w:r>
          </w:p>
        </w:tc>
        <w:tc>
          <w:tcPr>
            <w:tcW w:w="355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00861F25" w14:textId="77777777" w:rsidR="00014C1A" w:rsidRPr="001F748C" w:rsidRDefault="00003B0B">
            <w:pPr>
              <w:rPr>
                <w:color w:val="auto"/>
              </w:rPr>
            </w:pPr>
            <w:r w:rsidRPr="001F748C">
              <w:rPr>
                <w:color w:val="auto"/>
              </w:rPr>
              <w:t>Asian Development Bank</w:t>
            </w:r>
          </w:p>
        </w:tc>
      </w:tr>
      <w:tr w:rsidR="00014C1A" w:rsidRPr="001F748C" w14:paraId="6EC77359"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788EB46" w14:textId="77777777" w:rsidR="00014C1A" w:rsidRPr="001F748C" w:rsidRDefault="00003B0B">
            <w:pPr>
              <w:rPr>
                <w:color w:val="auto"/>
              </w:rPr>
            </w:pPr>
            <w:r w:rsidRPr="001F748C">
              <w:rPr>
                <w:b/>
                <w:bCs/>
                <w:color w:val="auto"/>
              </w:rPr>
              <w:t>JSC</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AB6B842" w14:textId="77777777" w:rsidR="00014C1A" w:rsidRPr="001F748C" w:rsidRDefault="00003B0B">
            <w:pPr>
              <w:rPr>
                <w:color w:val="auto"/>
              </w:rPr>
            </w:pPr>
            <w:r w:rsidRPr="001F748C">
              <w:rPr>
                <w:color w:val="auto"/>
              </w:rPr>
              <w:t>Joint-stock company</w:t>
            </w:r>
          </w:p>
        </w:tc>
      </w:tr>
      <w:tr w:rsidR="00014C1A" w:rsidRPr="00AB68BA" w14:paraId="4741537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4A10016" w14:textId="77777777" w:rsidR="00014C1A" w:rsidRPr="00CD5E54" w:rsidRDefault="00003B0B">
            <w:pPr>
              <w:rPr>
                <w:color w:val="auto"/>
                <w:lang w:val="en-US"/>
              </w:rPr>
            </w:pPr>
            <w:r w:rsidRPr="00CD5E54">
              <w:rPr>
                <w:b/>
                <w:bCs/>
                <w:color w:val="auto"/>
                <w:lang w:val="en-US"/>
              </w:rPr>
              <w:t>JSC "NMH "Baiterek" / Sole Shareholder / Shareholder, Holding</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5F8D3544" w14:textId="77777777" w:rsidR="00014C1A" w:rsidRPr="00CD5E54" w:rsidRDefault="00003B0B">
            <w:pPr>
              <w:rPr>
                <w:color w:val="auto"/>
                <w:lang w:val="en-US"/>
              </w:rPr>
            </w:pPr>
            <w:r w:rsidRPr="00CD5E54">
              <w:rPr>
                <w:color w:val="auto"/>
                <w:lang w:val="en-US"/>
              </w:rPr>
              <w:t>JSC National Management Holding Baiterek</w:t>
            </w:r>
          </w:p>
        </w:tc>
      </w:tr>
      <w:tr w:rsidR="00014C1A" w:rsidRPr="001F748C" w14:paraId="62A282C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02C9776" w14:textId="705D7B16" w:rsidR="00014C1A" w:rsidRPr="00335E3A" w:rsidRDefault="00335E3A">
            <w:pPr>
              <w:rPr>
                <w:color w:val="auto"/>
                <w:lang w:val="en-US"/>
              </w:rPr>
            </w:pPr>
            <w:r>
              <w:rPr>
                <w:b/>
                <w:bCs/>
                <w:color w:val="auto"/>
                <w:lang w:val="en-US"/>
              </w:rPr>
              <w:t>STBs</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39BB546C" w14:textId="77777777" w:rsidR="00014C1A" w:rsidRPr="001F748C" w:rsidRDefault="00003B0B">
            <w:pPr>
              <w:rPr>
                <w:color w:val="auto"/>
              </w:rPr>
            </w:pPr>
            <w:r w:rsidRPr="001F748C">
              <w:rPr>
                <w:color w:val="auto"/>
              </w:rPr>
              <w:t>Second-tier banks</w:t>
            </w:r>
          </w:p>
        </w:tc>
      </w:tr>
      <w:tr w:rsidR="00014C1A" w:rsidRPr="00AB68BA" w14:paraId="2862E932"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F81154C" w14:textId="5DBB7537" w:rsidR="00014C1A" w:rsidRPr="001F748C" w:rsidRDefault="009447A4">
            <w:pPr>
              <w:rPr>
                <w:color w:val="auto"/>
              </w:rPr>
            </w:pPr>
            <w:r>
              <w:rPr>
                <w:b/>
                <w:bCs/>
                <w:color w:val="auto"/>
              </w:rPr>
              <w:t>BR</w:t>
            </w:r>
            <w:r w:rsidR="00003B0B" w:rsidRPr="001F748C">
              <w:rPr>
                <w:b/>
                <w:bCs/>
                <w:color w:val="auto"/>
              </w:rPr>
              <w:t xml:space="preserve">-2020 / </w:t>
            </w:r>
            <w:r>
              <w:rPr>
                <w:b/>
                <w:bCs/>
                <w:color w:val="auto"/>
              </w:rPr>
              <w:t>BR</w:t>
            </w:r>
            <w:r w:rsidR="00003B0B" w:rsidRPr="001F748C">
              <w:rPr>
                <w:b/>
                <w:bCs/>
                <w:color w:val="auto"/>
              </w:rPr>
              <w:t>-2020 Program</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661AACC5" w14:textId="77777777" w:rsidR="00014C1A" w:rsidRPr="00CD5E54" w:rsidRDefault="00003B0B">
            <w:pPr>
              <w:rPr>
                <w:color w:val="auto"/>
                <w:lang w:val="en-US"/>
              </w:rPr>
            </w:pPr>
            <w:r w:rsidRPr="00CD5E54">
              <w:rPr>
                <w:color w:val="auto"/>
                <w:lang w:val="en-US"/>
              </w:rPr>
              <w:t>Unified Business Support and Development Program "Business Roadmap 2020"</w:t>
            </w:r>
          </w:p>
        </w:tc>
      </w:tr>
      <w:tr w:rsidR="000800CB" w:rsidRPr="00AB68BA" w14:paraId="71166A03"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7598DEA7" w14:textId="5395253B" w:rsidR="000800CB" w:rsidRPr="001F748C" w:rsidRDefault="009447A4" w:rsidP="000800CB">
            <w:pPr>
              <w:rPr>
                <w:color w:val="auto"/>
              </w:rPr>
            </w:pPr>
            <w:r>
              <w:rPr>
                <w:b/>
                <w:bCs/>
                <w:color w:val="auto"/>
              </w:rPr>
              <w:t>BR</w:t>
            </w:r>
            <w:r w:rsidR="000800CB" w:rsidRPr="001F748C">
              <w:rPr>
                <w:b/>
                <w:bCs/>
                <w:color w:val="auto"/>
              </w:rPr>
              <w:t xml:space="preserve">-2025 / </w:t>
            </w:r>
            <w:r>
              <w:rPr>
                <w:b/>
                <w:bCs/>
                <w:color w:val="auto"/>
              </w:rPr>
              <w:t>BR</w:t>
            </w:r>
            <w:r w:rsidR="000800CB" w:rsidRPr="001F748C">
              <w:rPr>
                <w:b/>
                <w:bCs/>
                <w:color w:val="auto"/>
              </w:rPr>
              <w:t>-2025 Program</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04A2B56B" w14:textId="77777777" w:rsidR="000800CB" w:rsidRPr="00CD5E54" w:rsidRDefault="000800CB" w:rsidP="000800CB">
            <w:pPr>
              <w:rPr>
                <w:color w:val="auto"/>
                <w:lang w:val="en-US"/>
              </w:rPr>
            </w:pPr>
            <w:r w:rsidRPr="00CD5E54">
              <w:rPr>
                <w:color w:val="auto"/>
                <w:lang w:val="en-US"/>
              </w:rPr>
              <w:t>State program for business support and development "Business Roadmap 2025"</w:t>
            </w:r>
          </w:p>
        </w:tc>
      </w:tr>
      <w:tr w:rsidR="00014C1A" w:rsidRPr="00AB68BA" w14:paraId="46FD6206"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3EDF260" w14:textId="77777777" w:rsidR="00014C1A" w:rsidRPr="001F748C" w:rsidRDefault="00003B0B">
            <w:pPr>
              <w:rPr>
                <w:color w:val="auto"/>
              </w:rPr>
            </w:pPr>
            <w:r w:rsidRPr="001F748C">
              <w:rPr>
                <w:b/>
                <w:bCs/>
                <w:color w:val="auto"/>
              </w:rPr>
              <w:t>EBRD</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5A77F4F6" w14:textId="77777777" w:rsidR="00014C1A" w:rsidRPr="00CD5E54" w:rsidRDefault="00003B0B">
            <w:pPr>
              <w:rPr>
                <w:color w:val="auto"/>
                <w:lang w:val="en-US"/>
              </w:rPr>
            </w:pPr>
            <w:r w:rsidRPr="00CD5E54">
              <w:rPr>
                <w:color w:val="auto"/>
                <w:lang w:val="en-US"/>
              </w:rPr>
              <w:t>European Bank for Reconstruction and Development</w:t>
            </w:r>
          </w:p>
        </w:tc>
      </w:tr>
      <w:tr w:rsidR="00014C1A" w:rsidRPr="001F748C" w14:paraId="7D30EE16"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1A66629" w14:textId="77777777" w:rsidR="00014C1A" w:rsidRPr="001F748C" w:rsidRDefault="00003B0B">
            <w:pPr>
              <w:rPr>
                <w:color w:val="auto"/>
              </w:rPr>
            </w:pPr>
            <w:r w:rsidRPr="001F748C">
              <w:rPr>
                <w:b/>
                <w:bCs/>
                <w:color w:val="auto"/>
              </w:rPr>
              <w:t>EIB</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67A9EE89" w14:textId="77777777" w:rsidR="00014C1A" w:rsidRPr="001F748C" w:rsidRDefault="00003B0B">
            <w:pPr>
              <w:rPr>
                <w:color w:val="auto"/>
              </w:rPr>
            </w:pPr>
            <w:r w:rsidRPr="001F748C">
              <w:rPr>
                <w:color w:val="auto"/>
              </w:rPr>
              <w:t>European Investment Bank</w:t>
            </w:r>
          </w:p>
        </w:tc>
      </w:tr>
      <w:tr w:rsidR="00F738D1" w:rsidRPr="00AB68BA" w14:paraId="3BAD779F"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592AB202" w14:textId="77777777" w:rsidR="005C7FED" w:rsidRPr="00CD5E54" w:rsidRDefault="00F738D1" w:rsidP="005C7FED">
            <w:pPr>
              <w:rPr>
                <w:b/>
                <w:color w:val="auto"/>
                <w:lang w:val="en-US"/>
              </w:rPr>
            </w:pPr>
            <w:r w:rsidRPr="00CD5E54">
              <w:rPr>
                <w:b/>
                <w:color w:val="auto"/>
                <w:lang w:val="en-US"/>
              </w:rPr>
              <w:t>State program "Enbek", Program "Enbek"</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55FBE5D8" w14:textId="2859E501" w:rsidR="00F738D1" w:rsidRPr="00CD5E54" w:rsidRDefault="00DA79A0" w:rsidP="00DA79A0">
            <w:pPr>
              <w:rPr>
                <w:color w:val="auto"/>
                <w:lang w:val="en-US"/>
              </w:rPr>
            </w:pPr>
            <w:r w:rsidRPr="00CD5E54">
              <w:rPr>
                <w:color w:val="auto"/>
                <w:lang w:val="en-US"/>
              </w:rPr>
              <w:t xml:space="preserve">The State Program for the Development of Productive Employment and Mass Entrepreneurship for 2017–2021 </w:t>
            </w:r>
            <w:r w:rsidR="007F3238" w:rsidRPr="00CD5E54">
              <w:rPr>
                <w:color w:val="auto"/>
                <w:lang w:val="en-US"/>
              </w:rPr>
              <w:t>"</w:t>
            </w:r>
            <w:r w:rsidRPr="00CD5E54">
              <w:rPr>
                <w:color w:val="auto"/>
                <w:lang w:val="en-US"/>
              </w:rPr>
              <w:t>Enbek</w:t>
            </w:r>
            <w:r w:rsidR="007F3238" w:rsidRPr="00CD5E54">
              <w:rPr>
                <w:color w:val="auto"/>
                <w:lang w:val="en-US"/>
              </w:rPr>
              <w:t>"</w:t>
            </w:r>
            <w:r w:rsidRPr="00CD5E54">
              <w:rPr>
                <w:color w:val="auto"/>
                <w:lang w:val="en-US"/>
              </w:rPr>
              <w:t>, approved by Resolution of the Government of the Republic of Kazakhstan dated November 13, 2018 No. 746</w:t>
            </w:r>
          </w:p>
        </w:tc>
      </w:tr>
      <w:tr w:rsidR="00014C1A" w:rsidRPr="001F748C" w14:paraId="70E2D8D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D2D4AC" w14:textId="08CC3D4E" w:rsidR="00014C1A" w:rsidRPr="00335E3A" w:rsidRDefault="00335E3A">
            <w:pPr>
              <w:rPr>
                <w:color w:val="auto"/>
                <w:lang w:val="en-US"/>
              </w:rPr>
            </w:pPr>
            <w:r>
              <w:rPr>
                <w:b/>
                <w:bCs/>
                <w:color w:val="auto"/>
                <w:lang w:val="en-US"/>
              </w:rPr>
              <w:t>SP</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B359005" w14:textId="77777777" w:rsidR="00014C1A" w:rsidRPr="001F748C" w:rsidRDefault="00003B0B">
            <w:pPr>
              <w:rPr>
                <w:color w:val="auto"/>
              </w:rPr>
            </w:pPr>
            <w:r w:rsidRPr="001F748C">
              <w:rPr>
                <w:color w:val="auto"/>
              </w:rPr>
              <w:t>Sole proprietor</w:t>
            </w:r>
          </w:p>
        </w:tc>
      </w:tr>
      <w:tr w:rsidR="00014C1A" w:rsidRPr="001F748C" w14:paraId="63D8DE76"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9A6C0AC" w14:textId="366A3FC2" w:rsidR="00014C1A" w:rsidRPr="00335E3A" w:rsidRDefault="00335E3A">
            <w:pPr>
              <w:rPr>
                <w:color w:val="auto"/>
                <w:lang w:val="en-US"/>
              </w:rPr>
            </w:pPr>
            <w:r>
              <w:rPr>
                <w:b/>
                <w:bCs/>
                <w:color w:val="auto"/>
                <w:lang w:val="en-US"/>
              </w:rPr>
              <w:t>KPI</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D3A6246" w14:textId="77777777" w:rsidR="00014C1A" w:rsidRPr="001F748C" w:rsidRDefault="00003B0B">
            <w:pPr>
              <w:rPr>
                <w:color w:val="auto"/>
              </w:rPr>
            </w:pPr>
            <w:r w:rsidRPr="001F748C">
              <w:rPr>
                <w:color w:val="auto"/>
              </w:rPr>
              <w:t>Key performance indicators</w:t>
            </w:r>
          </w:p>
        </w:tc>
      </w:tr>
      <w:tr w:rsidR="00014C1A" w:rsidRPr="001F748C" w14:paraId="21F4370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1DB3634" w14:textId="115F640E" w:rsidR="00014C1A" w:rsidRPr="00335E3A" w:rsidRDefault="00335E3A">
            <w:pPr>
              <w:rPr>
                <w:color w:val="auto"/>
                <w:lang w:val="en-US"/>
              </w:rPr>
            </w:pPr>
            <w:r>
              <w:rPr>
                <w:b/>
                <w:bCs/>
                <w:color w:val="auto"/>
                <w:lang w:val="en-US"/>
              </w:rPr>
              <w:t>LC</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1BB1A7F" w14:textId="77777777" w:rsidR="00014C1A" w:rsidRPr="001F748C" w:rsidRDefault="00003B0B">
            <w:pPr>
              <w:rPr>
                <w:color w:val="auto"/>
              </w:rPr>
            </w:pPr>
            <w:r w:rsidRPr="001F748C">
              <w:rPr>
                <w:color w:val="auto"/>
              </w:rPr>
              <w:t>Leasing company</w:t>
            </w:r>
          </w:p>
        </w:tc>
      </w:tr>
      <w:tr w:rsidR="00014C1A" w:rsidRPr="001F748C" w14:paraId="578B4137"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0F0E16A" w14:textId="77777777" w:rsidR="00014C1A" w:rsidRPr="001F748C" w:rsidRDefault="00003B0B">
            <w:pPr>
              <w:rPr>
                <w:color w:val="auto"/>
              </w:rPr>
            </w:pPr>
            <w:r w:rsidRPr="001F748C">
              <w:rPr>
                <w:b/>
                <w:bCs/>
                <w:color w:val="auto"/>
              </w:rPr>
              <w:t>RK</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404645E" w14:textId="77777777" w:rsidR="00014C1A" w:rsidRPr="001F748C" w:rsidRDefault="00003B0B">
            <w:pPr>
              <w:rPr>
                <w:color w:val="auto"/>
              </w:rPr>
            </w:pPr>
            <w:r w:rsidRPr="001F748C">
              <w:rPr>
                <w:color w:val="auto"/>
              </w:rPr>
              <w:t>Republic of Kazakhstan</w:t>
            </w:r>
          </w:p>
        </w:tc>
      </w:tr>
      <w:tr w:rsidR="007A303B" w:rsidRPr="00AB68BA" w14:paraId="4482A00A"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1451B75F" w14:textId="02E46B6D" w:rsidR="007A303B" w:rsidRPr="00335E3A" w:rsidRDefault="007A303B">
            <w:pPr>
              <w:rPr>
                <w:b/>
                <w:bCs/>
                <w:color w:val="auto"/>
                <w:lang w:val="en-US"/>
              </w:rPr>
            </w:pPr>
            <w:r w:rsidRPr="001F748C">
              <w:rPr>
                <w:b/>
                <w:bCs/>
                <w:color w:val="auto"/>
              </w:rPr>
              <w:t xml:space="preserve">Mechanism, </w:t>
            </w:r>
            <w:r w:rsidR="00335E3A">
              <w:rPr>
                <w:b/>
                <w:bCs/>
                <w:color w:val="auto"/>
                <w:lang w:val="en-US"/>
              </w:rPr>
              <w:t>EST</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1DF46991" w14:textId="77777777" w:rsidR="007A303B" w:rsidRPr="00CD5E54" w:rsidRDefault="00A85420" w:rsidP="002C051A">
            <w:pPr>
              <w:rPr>
                <w:color w:val="auto"/>
                <w:lang w:val="en-US"/>
              </w:rPr>
            </w:pPr>
            <w:r w:rsidRPr="00CD5E54">
              <w:rPr>
                <w:color w:val="auto"/>
                <w:lang w:val="en-US"/>
              </w:rPr>
              <w:t>The mechanism for lending and financial leasing for priority projects "The Economy of Simple Things", approved by the Decree of the Government of the Republic of Kazakhstan dated December 11, 2018, No. 820</w:t>
            </w:r>
          </w:p>
        </w:tc>
      </w:tr>
      <w:tr w:rsidR="00014C1A" w:rsidRPr="001F748C" w14:paraId="041B763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2427A98" w14:textId="6C25C1A7" w:rsidR="00014C1A" w:rsidRPr="00335E3A" w:rsidRDefault="00335E3A">
            <w:pPr>
              <w:rPr>
                <w:color w:val="auto"/>
                <w:lang w:val="en-US"/>
              </w:rPr>
            </w:pPr>
            <w:r>
              <w:rPr>
                <w:b/>
                <w:bCs/>
                <w:color w:val="auto"/>
                <w:lang w:val="en-US"/>
              </w:rPr>
              <w:t>LEB</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B6606B1" w14:textId="77777777" w:rsidR="00014C1A" w:rsidRPr="001F748C" w:rsidRDefault="00003B0B">
            <w:pPr>
              <w:rPr>
                <w:color w:val="auto"/>
              </w:rPr>
            </w:pPr>
            <w:r w:rsidRPr="001F748C">
              <w:rPr>
                <w:color w:val="auto"/>
              </w:rPr>
              <w:t>Local executive body</w:t>
            </w:r>
          </w:p>
        </w:tc>
      </w:tr>
      <w:tr w:rsidR="00014C1A" w:rsidRPr="001F748C" w14:paraId="2D57319F"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C93D602" w14:textId="6C085D2D" w:rsidR="00014C1A" w:rsidRPr="00335E3A" w:rsidRDefault="00335E3A">
            <w:pPr>
              <w:rPr>
                <w:color w:val="auto"/>
                <w:lang w:val="en-US"/>
              </w:rPr>
            </w:pPr>
            <w:r>
              <w:rPr>
                <w:b/>
                <w:bCs/>
                <w:color w:val="auto"/>
                <w:lang w:val="en-US"/>
              </w:rPr>
              <w:t>MFO</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3E85C805" w14:textId="77777777" w:rsidR="00014C1A" w:rsidRPr="001F748C" w:rsidRDefault="00003B0B">
            <w:pPr>
              <w:rPr>
                <w:color w:val="auto"/>
              </w:rPr>
            </w:pPr>
            <w:r w:rsidRPr="001F748C">
              <w:rPr>
                <w:color w:val="auto"/>
              </w:rPr>
              <w:t>Microfinance organization</w:t>
            </w:r>
          </w:p>
        </w:tc>
      </w:tr>
      <w:tr w:rsidR="000800CB" w:rsidRPr="00AB68BA" w14:paraId="1FD9B87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05177762" w14:textId="77777777" w:rsidR="000800CB" w:rsidRPr="001F748C" w:rsidRDefault="000800CB">
            <w:pPr>
              <w:rPr>
                <w:b/>
                <w:bCs/>
                <w:color w:val="auto"/>
              </w:rPr>
            </w:pPr>
            <w:r w:rsidRPr="001F748C">
              <w:rPr>
                <w:b/>
                <w:bCs/>
                <w:color w:val="auto"/>
              </w:rPr>
              <w:t>National Project</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704B9D2D" w14:textId="77777777" w:rsidR="000800CB" w:rsidRPr="00CD5E54" w:rsidRDefault="000800CB" w:rsidP="00DA79A0">
            <w:pPr>
              <w:rPr>
                <w:color w:val="auto"/>
                <w:lang w:val="en-US"/>
              </w:rPr>
            </w:pPr>
            <w:r w:rsidRPr="00CD5E54">
              <w:rPr>
                <w:rStyle w:val="s0"/>
                <w:color w:val="auto"/>
                <w:lang w:val="en-US"/>
              </w:rPr>
              <w:t>National Project for Entrepreneurship Development for 2021–2025</w:t>
            </w:r>
            <w:r w:rsidRPr="00CD5E54">
              <w:rPr>
                <w:color w:val="auto"/>
                <w:lang w:val="en-US"/>
              </w:rPr>
              <w:t>, approved by the Decree of the Government of the Republic of Kazakhstan dated October 12, 2021 No. 728</w:t>
            </w:r>
          </w:p>
        </w:tc>
      </w:tr>
      <w:tr w:rsidR="00014C1A" w:rsidRPr="00AB68BA" w14:paraId="17A0509A"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E8777E3" w14:textId="1B9896C9" w:rsidR="00014C1A" w:rsidRPr="00CD5E54" w:rsidRDefault="00335E3A">
            <w:pPr>
              <w:rPr>
                <w:color w:val="auto"/>
                <w:lang w:val="en-US"/>
              </w:rPr>
            </w:pPr>
            <w:r>
              <w:rPr>
                <w:b/>
                <w:bCs/>
                <w:color w:val="auto"/>
                <w:lang w:val="en-US"/>
              </w:rPr>
              <w:t>NB RK</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E0F2F8F" w14:textId="77777777" w:rsidR="00014C1A" w:rsidRPr="00CD5E54" w:rsidRDefault="00003B0B">
            <w:pPr>
              <w:rPr>
                <w:color w:val="auto"/>
                <w:lang w:val="en-US"/>
              </w:rPr>
            </w:pPr>
            <w:r w:rsidRPr="00CD5E54">
              <w:rPr>
                <w:color w:val="auto"/>
                <w:lang w:val="en-US"/>
              </w:rPr>
              <w:t>National Bank of the Republic of Kazakhstan</w:t>
            </w:r>
          </w:p>
        </w:tc>
      </w:tr>
      <w:tr w:rsidR="00014C1A" w:rsidRPr="00AB68BA" w14:paraId="1F30360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C40DAA4" w14:textId="77777777" w:rsidR="00014C1A" w:rsidRPr="001F748C" w:rsidRDefault="00003B0B">
            <w:pPr>
              <w:rPr>
                <w:color w:val="auto"/>
              </w:rPr>
            </w:pPr>
            <w:r w:rsidRPr="001F748C">
              <w:rPr>
                <w:b/>
                <w:bCs/>
                <w:color w:val="auto"/>
              </w:rPr>
              <w:t>NF RK</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5F10B658" w14:textId="77777777" w:rsidR="00014C1A" w:rsidRPr="00CD5E54" w:rsidRDefault="00003B0B">
            <w:pPr>
              <w:rPr>
                <w:color w:val="auto"/>
                <w:lang w:val="en-US"/>
              </w:rPr>
            </w:pPr>
            <w:r w:rsidRPr="00CD5E54">
              <w:rPr>
                <w:color w:val="auto"/>
                <w:lang w:val="en-US"/>
              </w:rPr>
              <w:t>National Fund of the Republic of Kazakhstan</w:t>
            </w:r>
          </w:p>
        </w:tc>
      </w:tr>
      <w:tr w:rsidR="00014C1A" w:rsidRPr="00AB68BA" w14:paraId="0778412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796294D" w14:textId="77777777" w:rsidR="00014C1A" w:rsidRPr="001F748C" w:rsidRDefault="00003B0B">
            <w:pPr>
              <w:rPr>
                <w:color w:val="auto"/>
              </w:rPr>
            </w:pPr>
            <w:r w:rsidRPr="001F748C">
              <w:rPr>
                <w:b/>
                <w:bCs/>
                <w:color w:val="auto"/>
              </w:rPr>
              <w:t>OECD</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6BB38A0" w14:textId="77777777" w:rsidR="00014C1A" w:rsidRPr="00CD5E54" w:rsidRDefault="00003B0B">
            <w:pPr>
              <w:rPr>
                <w:color w:val="auto"/>
                <w:lang w:val="en-US"/>
              </w:rPr>
            </w:pPr>
            <w:r w:rsidRPr="00CD5E54">
              <w:rPr>
                <w:color w:val="auto"/>
                <w:lang w:val="en-US"/>
              </w:rPr>
              <w:t>Organization for Economic Cooperation and Development</w:t>
            </w:r>
          </w:p>
        </w:tc>
      </w:tr>
      <w:tr w:rsidR="00014C1A" w:rsidRPr="00AB68BA" w14:paraId="53D0B8C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B68EFCE" w14:textId="77777777" w:rsidR="00014C1A" w:rsidRPr="001F748C" w:rsidRDefault="00003B0B">
            <w:pPr>
              <w:rPr>
                <w:color w:val="auto"/>
              </w:rPr>
            </w:pPr>
            <w:r w:rsidRPr="001F748C">
              <w:rPr>
                <w:b/>
                <w:bCs/>
                <w:color w:val="auto"/>
              </w:rPr>
              <w:t>MSME</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3C47BDD" w14:textId="7DA6A949" w:rsidR="00014C1A" w:rsidRPr="00CD5E54" w:rsidRDefault="00003B0B">
            <w:pPr>
              <w:rPr>
                <w:color w:val="auto"/>
                <w:lang w:val="en-US"/>
              </w:rPr>
            </w:pPr>
            <w:r w:rsidRPr="00CD5E54">
              <w:rPr>
                <w:color w:val="auto"/>
                <w:lang w:val="en-US"/>
              </w:rPr>
              <w:t xml:space="preserve">Micro, small and medium-sized </w:t>
            </w:r>
            <w:r w:rsidR="00335E3A">
              <w:rPr>
                <w:color w:val="auto"/>
                <w:lang w:val="en-US"/>
              </w:rPr>
              <w:t>enterprises</w:t>
            </w:r>
          </w:p>
        </w:tc>
      </w:tr>
      <w:tr w:rsidR="000B0510" w:rsidRPr="00AB68BA" w14:paraId="33D1D8F8"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094EA9DB" w14:textId="77777777" w:rsidR="000B0510" w:rsidRPr="001F748C" w:rsidRDefault="000B0510">
            <w:pPr>
              <w:rPr>
                <w:b/>
                <w:bCs/>
                <w:color w:val="auto"/>
              </w:rPr>
            </w:pPr>
            <w:r w:rsidRPr="001F748C">
              <w:rPr>
                <w:b/>
                <w:bCs/>
                <w:color w:val="auto"/>
              </w:rPr>
              <w:t>SMEs</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29D6E311" w14:textId="77777777" w:rsidR="000B0510" w:rsidRPr="00CD5E54" w:rsidRDefault="000B0510" w:rsidP="000B0510">
            <w:pPr>
              <w:rPr>
                <w:color w:val="auto"/>
                <w:lang w:val="en-US"/>
              </w:rPr>
            </w:pPr>
            <w:r w:rsidRPr="00CD5E54">
              <w:rPr>
                <w:color w:val="auto"/>
                <w:lang w:val="en-US"/>
              </w:rPr>
              <w:t>Small and medium-sized business entity</w:t>
            </w:r>
          </w:p>
        </w:tc>
      </w:tr>
      <w:tr w:rsidR="00014C1A" w:rsidRPr="001F748C" w14:paraId="7624C1BA"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47D7B1D" w14:textId="082BB5EA" w:rsidR="00014C1A" w:rsidRPr="001F748C" w:rsidRDefault="00335E3A">
            <w:pPr>
              <w:rPr>
                <w:color w:val="auto"/>
              </w:rPr>
            </w:pPr>
            <w:r>
              <w:rPr>
                <w:b/>
                <w:bCs/>
                <w:color w:val="auto"/>
              </w:rPr>
              <w:t>M</w:t>
            </w:r>
            <w:r w:rsidR="00003B0B" w:rsidRPr="001F748C">
              <w:rPr>
                <w:b/>
                <w:bCs/>
                <w:color w:val="auto"/>
              </w:rPr>
              <w:t>edia</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CE8B2EC" w14:textId="111EABED" w:rsidR="00014C1A" w:rsidRPr="001F748C" w:rsidRDefault="00335E3A">
            <w:pPr>
              <w:rPr>
                <w:color w:val="auto"/>
              </w:rPr>
            </w:pPr>
            <w:r w:rsidRPr="00335E3A">
              <w:rPr>
                <w:color w:val="auto"/>
              </w:rPr>
              <w:t>mass media</w:t>
            </w:r>
          </w:p>
        </w:tc>
      </w:tr>
      <w:tr w:rsidR="00014C1A" w:rsidRPr="001F748C" w14:paraId="4B9B353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B28ED09" w14:textId="1960BBDB" w:rsidR="00014C1A" w:rsidRPr="00335E3A" w:rsidRDefault="00335E3A">
            <w:pPr>
              <w:rPr>
                <w:color w:val="auto"/>
                <w:lang w:val="en-US"/>
              </w:rPr>
            </w:pPr>
            <w:r>
              <w:rPr>
                <w:b/>
                <w:bCs/>
                <w:color w:val="auto"/>
                <w:lang w:val="en-US"/>
              </w:rPr>
              <w:t>PEE</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6C1A64D5" w14:textId="77777777" w:rsidR="00014C1A" w:rsidRPr="001F748C" w:rsidRDefault="00003B0B">
            <w:pPr>
              <w:rPr>
                <w:color w:val="auto"/>
              </w:rPr>
            </w:pPr>
            <w:r w:rsidRPr="001F748C">
              <w:rPr>
                <w:color w:val="auto"/>
              </w:rPr>
              <w:t>Private enterprise entity</w:t>
            </w:r>
          </w:p>
        </w:tc>
      </w:tr>
      <w:tr w:rsidR="00014C1A" w:rsidRPr="00AB68BA" w14:paraId="24D40F6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C565ABA" w14:textId="2B32D7D9" w:rsidR="00014C1A" w:rsidRPr="001F748C" w:rsidRDefault="00A157BD">
            <w:pPr>
              <w:rPr>
                <w:color w:val="auto"/>
              </w:rPr>
            </w:pPr>
            <w:r>
              <w:rPr>
                <w:b/>
                <w:bCs/>
                <w:color w:val="auto"/>
              </w:rPr>
              <w:t>Fund</w:t>
            </w:r>
            <w:r w:rsidR="00003B0B" w:rsidRPr="001F748C">
              <w:rPr>
                <w:b/>
                <w:bCs/>
                <w:color w:val="auto"/>
              </w:rPr>
              <w:t xml:space="preserve"> / Damu </w:t>
            </w:r>
            <w:r>
              <w:rPr>
                <w:b/>
                <w:bCs/>
                <w:color w:val="auto"/>
              </w:rPr>
              <w:t>Fund</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37E344D2" w14:textId="77777777" w:rsidR="00014C1A" w:rsidRPr="00CD5E54" w:rsidRDefault="00003B0B">
            <w:pPr>
              <w:rPr>
                <w:color w:val="auto"/>
                <w:lang w:val="en-US"/>
              </w:rPr>
            </w:pPr>
            <w:r w:rsidRPr="00CD5E54">
              <w:rPr>
                <w:color w:val="auto"/>
                <w:lang w:val="en-US"/>
              </w:rPr>
              <w:t>JSC "Damu Entrepreneurship Development Fund"</w:t>
            </w:r>
          </w:p>
        </w:tc>
      </w:tr>
    </w:tbl>
    <w:p w14:paraId="7660619F" w14:textId="77777777" w:rsidR="00014C1A" w:rsidRPr="00CD5E54" w:rsidRDefault="00014C1A">
      <w:pPr>
        <w:ind w:firstLine="426"/>
        <w:jc w:val="both"/>
        <w:rPr>
          <w:color w:val="auto"/>
          <w:lang w:val="en-US"/>
        </w:rPr>
      </w:pPr>
    </w:p>
    <w:p w14:paraId="6A8E0439" w14:textId="77777777" w:rsidR="00014C1A" w:rsidRPr="00CD5E54" w:rsidRDefault="00014C1A">
      <w:pPr>
        <w:ind w:firstLine="426"/>
        <w:jc w:val="both"/>
        <w:rPr>
          <w:color w:val="auto"/>
          <w:lang w:val="en-US"/>
        </w:rPr>
      </w:pPr>
    </w:p>
    <w:p w14:paraId="6544FB76" w14:textId="77777777" w:rsidR="00014C1A" w:rsidRPr="00CD5E54" w:rsidRDefault="00014C1A" w:rsidP="00503528">
      <w:pPr>
        <w:spacing w:after="120"/>
        <w:ind w:firstLine="357"/>
        <w:jc w:val="both"/>
        <w:rPr>
          <w:color w:val="auto"/>
          <w:lang w:val="en-US"/>
        </w:rPr>
      </w:pPr>
    </w:p>
    <w:sectPr w:rsidR="00014C1A" w:rsidRPr="00CD5E54" w:rsidSect="008E4AD4">
      <w:footerReference w:type="default" r:id="rId4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9E8C" w14:textId="77777777" w:rsidR="00290D4E" w:rsidRDefault="00290D4E" w:rsidP="00003B0B">
      <w:r>
        <w:separator/>
      </w:r>
    </w:p>
  </w:endnote>
  <w:endnote w:type="continuationSeparator" w:id="0">
    <w:p w14:paraId="5E468E3C" w14:textId="77777777" w:rsidR="00290D4E" w:rsidRDefault="00290D4E" w:rsidP="000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KZ Domain Display Blac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83779"/>
      <w:docPartObj>
        <w:docPartGallery w:val="Page Numbers (Bottom of Page)"/>
        <w:docPartUnique/>
      </w:docPartObj>
    </w:sdtPr>
    <w:sdtEndPr/>
    <w:sdtContent>
      <w:p w14:paraId="16A52516" w14:textId="5CA179B2" w:rsidR="00D4323D" w:rsidRDefault="00D4323D">
        <w:pPr>
          <w:pStyle w:val="a9"/>
          <w:jc w:val="right"/>
        </w:pPr>
        <w:r>
          <w:fldChar w:fldCharType="begin"/>
        </w:r>
        <w:r>
          <w:instrText>PAGE   \* MERGEFORMAT</w:instrText>
        </w:r>
        <w:r>
          <w:fldChar w:fldCharType="separate"/>
        </w:r>
        <w:r w:rsidR="00F92796">
          <w:rPr>
            <w:noProof/>
          </w:rPr>
          <w:t>1</w:t>
        </w:r>
        <w:r>
          <w:fldChar w:fldCharType="end"/>
        </w:r>
      </w:p>
    </w:sdtContent>
  </w:sdt>
  <w:p w14:paraId="588C7EDA" w14:textId="77777777" w:rsidR="00D4323D" w:rsidRDefault="00D432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5B97" w14:textId="77777777" w:rsidR="00290D4E" w:rsidRDefault="00290D4E" w:rsidP="00003B0B">
      <w:r>
        <w:separator/>
      </w:r>
    </w:p>
  </w:footnote>
  <w:footnote w:type="continuationSeparator" w:id="0">
    <w:p w14:paraId="2C7CFED4" w14:textId="77777777" w:rsidR="00290D4E" w:rsidRDefault="00290D4E" w:rsidP="0000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D2"/>
    <w:multiLevelType w:val="hybridMultilevel"/>
    <w:tmpl w:val="6E0EA68E"/>
    <w:lvl w:ilvl="0" w:tplc="9FFC08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F026D0"/>
    <w:multiLevelType w:val="hybridMultilevel"/>
    <w:tmpl w:val="25FEEE3A"/>
    <w:lvl w:ilvl="0" w:tplc="BC769154">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6318E"/>
    <w:multiLevelType w:val="hybridMultilevel"/>
    <w:tmpl w:val="C31A3D4A"/>
    <w:lvl w:ilvl="0" w:tplc="6ECAA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D1116"/>
    <w:multiLevelType w:val="hybridMultilevel"/>
    <w:tmpl w:val="7EF2716A"/>
    <w:lvl w:ilvl="0" w:tplc="BE00B4B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24841798"/>
    <w:multiLevelType w:val="hybridMultilevel"/>
    <w:tmpl w:val="2790204C"/>
    <w:lvl w:ilvl="0" w:tplc="7D34AA60">
      <w:start w:val="1"/>
      <w:numFmt w:val="decimal"/>
      <w:lvlText w:val="%1."/>
      <w:lvlJc w:val="left"/>
      <w:pPr>
        <w:ind w:left="644" w:hanging="360"/>
      </w:pPr>
      <w:rPr>
        <w:rFonts w:ascii="Times New Roman" w:hAnsi="Times New Roman" w:cs="Times New Roman" w:hint="default"/>
        <w:b w:val="0"/>
        <w:i w:val="0"/>
        <w:color w:val="auto"/>
        <w:sz w:val="24"/>
        <w:szCs w:val="24"/>
        <w:lang w:val="ru-RU"/>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7CA218C"/>
    <w:multiLevelType w:val="hybridMultilevel"/>
    <w:tmpl w:val="EE4EDB3E"/>
    <w:lvl w:ilvl="0" w:tplc="8B0814A4">
      <w:start w:val="1"/>
      <w:numFmt w:val="decimal"/>
      <w:lvlText w:val="%1)"/>
      <w:lvlJc w:val="left"/>
      <w:pPr>
        <w:ind w:left="1120" w:hanging="360"/>
      </w:pPr>
      <w:rPr>
        <w:rFonts w:ascii="Times New Roman" w:hAnsi="Times New Roman" w:cs="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869433F"/>
    <w:multiLevelType w:val="hybridMultilevel"/>
    <w:tmpl w:val="208860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674D92"/>
    <w:multiLevelType w:val="hybridMultilevel"/>
    <w:tmpl w:val="1F22D74C"/>
    <w:lvl w:ilvl="0" w:tplc="3EE40D0E">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3D065DE7"/>
    <w:multiLevelType w:val="hybridMultilevel"/>
    <w:tmpl w:val="2ED03ACC"/>
    <w:lvl w:ilvl="0" w:tplc="093492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B8978B8"/>
    <w:multiLevelType w:val="hybridMultilevel"/>
    <w:tmpl w:val="8338591A"/>
    <w:lvl w:ilvl="0" w:tplc="CE368B8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4D0866BA"/>
    <w:multiLevelType w:val="multilevel"/>
    <w:tmpl w:val="7B806F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C36E5"/>
    <w:multiLevelType w:val="hybridMultilevel"/>
    <w:tmpl w:val="DD767258"/>
    <w:lvl w:ilvl="0" w:tplc="1F8815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6DD2C05"/>
    <w:multiLevelType w:val="hybridMultilevel"/>
    <w:tmpl w:val="21DA2AD2"/>
    <w:lvl w:ilvl="0" w:tplc="1D20C2E8">
      <w:start w:val="1"/>
      <w:numFmt w:val="decimal"/>
      <w:lvlText w:val="%1)"/>
      <w:lvlJc w:val="left"/>
      <w:pPr>
        <w:ind w:left="1120" w:hanging="360"/>
      </w:pPr>
      <w:rPr>
        <w:rFonts w:ascii="Times New Roman" w:hAnsi="Times New Roman" w:cs="Times New Roman" w:hint="default"/>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5AA41E77"/>
    <w:multiLevelType w:val="hybridMultilevel"/>
    <w:tmpl w:val="0D26B516"/>
    <w:lvl w:ilvl="0" w:tplc="A24EF80E">
      <w:start w:val="1"/>
      <w:numFmt w:val="decimal"/>
      <w:lvlText w:val="%1)"/>
      <w:lvlJc w:val="left"/>
      <w:pPr>
        <w:ind w:left="786" w:hanging="360"/>
      </w:pPr>
      <w:rPr>
        <w:rFonts w:ascii="Times New Roman" w:hAnsi="Times New Roman" w:cs="Times New Roman" w:hint="default"/>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96D52D2"/>
    <w:multiLevelType w:val="multilevel"/>
    <w:tmpl w:val="362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4176A"/>
    <w:multiLevelType w:val="hybridMultilevel"/>
    <w:tmpl w:val="A5FAE852"/>
    <w:lvl w:ilvl="0" w:tplc="EB70EB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9D10A70"/>
    <w:multiLevelType w:val="hybridMultilevel"/>
    <w:tmpl w:val="51A8FA4A"/>
    <w:lvl w:ilvl="0" w:tplc="3EE40D0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8"/>
  </w:num>
  <w:num w:numId="3">
    <w:abstractNumId w:val="4"/>
  </w:num>
  <w:num w:numId="4">
    <w:abstractNumId w:val="11"/>
  </w:num>
  <w:num w:numId="5">
    <w:abstractNumId w:val="0"/>
  </w:num>
  <w:num w:numId="6">
    <w:abstractNumId w:val="1"/>
  </w:num>
  <w:num w:numId="7">
    <w:abstractNumId w:val="6"/>
  </w:num>
  <w:num w:numId="8">
    <w:abstractNumId w:val="15"/>
  </w:num>
  <w:num w:numId="9">
    <w:abstractNumId w:val="2"/>
  </w:num>
  <w:num w:numId="10">
    <w:abstractNumId w:val="5"/>
  </w:num>
  <w:num w:numId="11">
    <w:abstractNumId w:val="9"/>
  </w:num>
  <w:num w:numId="12">
    <w:abstractNumId w:val="12"/>
  </w:num>
  <w:num w:numId="13">
    <w:abstractNumId w:val="3"/>
  </w:num>
  <w:num w:numId="14">
    <w:abstractNumId w:val="7"/>
  </w:num>
  <w:num w:numId="15">
    <w:abstractNumId w:val="14"/>
  </w:num>
  <w:num w:numId="16">
    <w:abstractNumId w:val="1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0B"/>
    <w:rsid w:val="000003E3"/>
    <w:rsid w:val="000006AF"/>
    <w:rsid w:val="0000187F"/>
    <w:rsid w:val="00001DF9"/>
    <w:rsid w:val="00002528"/>
    <w:rsid w:val="00003480"/>
    <w:rsid w:val="00003B0B"/>
    <w:rsid w:val="00004168"/>
    <w:rsid w:val="00004820"/>
    <w:rsid w:val="000048DD"/>
    <w:rsid w:val="00005746"/>
    <w:rsid w:val="000060B4"/>
    <w:rsid w:val="00006A88"/>
    <w:rsid w:val="00007F1E"/>
    <w:rsid w:val="000128F4"/>
    <w:rsid w:val="00012D57"/>
    <w:rsid w:val="00013F41"/>
    <w:rsid w:val="00014A3B"/>
    <w:rsid w:val="00014C1A"/>
    <w:rsid w:val="00015070"/>
    <w:rsid w:val="00015435"/>
    <w:rsid w:val="0001681F"/>
    <w:rsid w:val="00017F28"/>
    <w:rsid w:val="000202B0"/>
    <w:rsid w:val="000206E5"/>
    <w:rsid w:val="00021A61"/>
    <w:rsid w:val="00021E79"/>
    <w:rsid w:val="00022565"/>
    <w:rsid w:val="00024587"/>
    <w:rsid w:val="00024D17"/>
    <w:rsid w:val="0002567E"/>
    <w:rsid w:val="000258BC"/>
    <w:rsid w:val="00025A94"/>
    <w:rsid w:val="00025FE9"/>
    <w:rsid w:val="0002603A"/>
    <w:rsid w:val="000302DC"/>
    <w:rsid w:val="00030BD5"/>
    <w:rsid w:val="00030CDF"/>
    <w:rsid w:val="000315BB"/>
    <w:rsid w:val="00031BCF"/>
    <w:rsid w:val="00032307"/>
    <w:rsid w:val="00033724"/>
    <w:rsid w:val="00033805"/>
    <w:rsid w:val="00033918"/>
    <w:rsid w:val="00033ABB"/>
    <w:rsid w:val="00036D6A"/>
    <w:rsid w:val="00037946"/>
    <w:rsid w:val="000404F6"/>
    <w:rsid w:val="00040732"/>
    <w:rsid w:val="00040C9D"/>
    <w:rsid w:val="00041317"/>
    <w:rsid w:val="0004137A"/>
    <w:rsid w:val="000414D2"/>
    <w:rsid w:val="00041D3F"/>
    <w:rsid w:val="00041D8E"/>
    <w:rsid w:val="0004313E"/>
    <w:rsid w:val="00043326"/>
    <w:rsid w:val="000441C4"/>
    <w:rsid w:val="000444E5"/>
    <w:rsid w:val="00044FA5"/>
    <w:rsid w:val="00045C4B"/>
    <w:rsid w:val="00045EC3"/>
    <w:rsid w:val="000472CC"/>
    <w:rsid w:val="0004744B"/>
    <w:rsid w:val="000474C7"/>
    <w:rsid w:val="0004778F"/>
    <w:rsid w:val="000506C7"/>
    <w:rsid w:val="00050BD9"/>
    <w:rsid w:val="00051938"/>
    <w:rsid w:val="00051A90"/>
    <w:rsid w:val="00052A57"/>
    <w:rsid w:val="00052F09"/>
    <w:rsid w:val="00053544"/>
    <w:rsid w:val="000548C1"/>
    <w:rsid w:val="00055007"/>
    <w:rsid w:val="00056FBC"/>
    <w:rsid w:val="000578DE"/>
    <w:rsid w:val="00057F7E"/>
    <w:rsid w:val="0006141C"/>
    <w:rsid w:val="0006432A"/>
    <w:rsid w:val="000646A8"/>
    <w:rsid w:val="00065C24"/>
    <w:rsid w:val="00065D73"/>
    <w:rsid w:val="00067543"/>
    <w:rsid w:val="00067A6A"/>
    <w:rsid w:val="00067EEC"/>
    <w:rsid w:val="00070029"/>
    <w:rsid w:val="000716D0"/>
    <w:rsid w:val="00071734"/>
    <w:rsid w:val="00071CA4"/>
    <w:rsid w:val="00071FFA"/>
    <w:rsid w:val="000723CC"/>
    <w:rsid w:val="0007275E"/>
    <w:rsid w:val="000728AD"/>
    <w:rsid w:val="00072A32"/>
    <w:rsid w:val="0007395C"/>
    <w:rsid w:val="000758B5"/>
    <w:rsid w:val="0007733C"/>
    <w:rsid w:val="000779E8"/>
    <w:rsid w:val="000800CB"/>
    <w:rsid w:val="00080565"/>
    <w:rsid w:val="00080620"/>
    <w:rsid w:val="00081A41"/>
    <w:rsid w:val="00081C3A"/>
    <w:rsid w:val="00081D37"/>
    <w:rsid w:val="00082A63"/>
    <w:rsid w:val="00083512"/>
    <w:rsid w:val="00083B23"/>
    <w:rsid w:val="0008494D"/>
    <w:rsid w:val="00084B81"/>
    <w:rsid w:val="00085355"/>
    <w:rsid w:val="000854F2"/>
    <w:rsid w:val="00085ECE"/>
    <w:rsid w:val="00086434"/>
    <w:rsid w:val="000866EB"/>
    <w:rsid w:val="00086971"/>
    <w:rsid w:val="00086E5E"/>
    <w:rsid w:val="00086EEE"/>
    <w:rsid w:val="000873E9"/>
    <w:rsid w:val="0008786D"/>
    <w:rsid w:val="000900AD"/>
    <w:rsid w:val="00090DC8"/>
    <w:rsid w:val="000924B3"/>
    <w:rsid w:val="00092A05"/>
    <w:rsid w:val="00093079"/>
    <w:rsid w:val="000931E7"/>
    <w:rsid w:val="00093857"/>
    <w:rsid w:val="000946D1"/>
    <w:rsid w:val="00094C10"/>
    <w:rsid w:val="0009544F"/>
    <w:rsid w:val="00095956"/>
    <w:rsid w:val="000959F8"/>
    <w:rsid w:val="000971D8"/>
    <w:rsid w:val="000975DC"/>
    <w:rsid w:val="00097F8E"/>
    <w:rsid w:val="000A0FF7"/>
    <w:rsid w:val="000A1D84"/>
    <w:rsid w:val="000A1DA4"/>
    <w:rsid w:val="000A35F9"/>
    <w:rsid w:val="000A42C2"/>
    <w:rsid w:val="000A4570"/>
    <w:rsid w:val="000A5D70"/>
    <w:rsid w:val="000A5E7F"/>
    <w:rsid w:val="000A5EA2"/>
    <w:rsid w:val="000A6367"/>
    <w:rsid w:val="000A64C9"/>
    <w:rsid w:val="000A6B1B"/>
    <w:rsid w:val="000B0510"/>
    <w:rsid w:val="000B1D98"/>
    <w:rsid w:val="000B2602"/>
    <w:rsid w:val="000B5762"/>
    <w:rsid w:val="000C0187"/>
    <w:rsid w:val="000C0623"/>
    <w:rsid w:val="000C0962"/>
    <w:rsid w:val="000C15EA"/>
    <w:rsid w:val="000C237B"/>
    <w:rsid w:val="000C2694"/>
    <w:rsid w:val="000C2D08"/>
    <w:rsid w:val="000C2DB9"/>
    <w:rsid w:val="000C55BF"/>
    <w:rsid w:val="000C574C"/>
    <w:rsid w:val="000C5B7F"/>
    <w:rsid w:val="000C61DD"/>
    <w:rsid w:val="000C7BFA"/>
    <w:rsid w:val="000C7E08"/>
    <w:rsid w:val="000D02AD"/>
    <w:rsid w:val="000D098F"/>
    <w:rsid w:val="000D0B77"/>
    <w:rsid w:val="000D0E8E"/>
    <w:rsid w:val="000D1174"/>
    <w:rsid w:val="000D1177"/>
    <w:rsid w:val="000D1870"/>
    <w:rsid w:val="000D2C0D"/>
    <w:rsid w:val="000D3053"/>
    <w:rsid w:val="000D5A2D"/>
    <w:rsid w:val="000D5B31"/>
    <w:rsid w:val="000D5BA1"/>
    <w:rsid w:val="000D6B1B"/>
    <w:rsid w:val="000D7C85"/>
    <w:rsid w:val="000D7FEE"/>
    <w:rsid w:val="000E000D"/>
    <w:rsid w:val="000E0259"/>
    <w:rsid w:val="000E068B"/>
    <w:rsid w:val="000E0C0E"/>
    <w:rsid w:val="000E0D4E"/>
    <w:rsid w:val="000E1B75"/>
    <w:rsid w:val="000E1B9F"/>
    <w:rsid w:val="000E26EC"/>
    <w:rsid w:val="000E2749"/>
    <w:rsid w:val="000E27CD"/>
    <w:rsid w:val="000E2BFF"/>
    <w:rsid w:val="000E30DE"/>
    <w:rsid w:val="000E343A"/>
    <w:rsid w:val="000E38C4"/>
    <w:rsid w:val="000E3A13"/>
    <w:rsid w:val="000E4150"/>
    <w:rsid w:val="000E4653"/>
    <w:rsid w:val="000E4A24"/>
    <w:rsid w:val="000E4D03"/>
    <w:rsid w:val="000E4D6C"/>
    <w:rsid w:val="000E6B87"/>
    <w:rsid w:val="000E6F4F"/>
    <w:rsid w:val="000F1944"/>
    <w:rsid w:val="000F1C73"/>
    <w:rsid w:val="000F226D"/>
    <w:rsid w:val="000F31EB"/>
    <w:rsid w:val="000F32F7"/>
    <w:rsid w:val="000F33EB"/>
    <w:rsid w:val="000F37B3"/>
    <w:rsid w:val="000F3FE9"/>
    <w:rsid w:val="000F4267"/>
    <w:rsid w:val="000F4DA2"/>
    <w:rsid w:val="000F5BF0"/>
    <w:rsid w:val="000F6408"/>
    <w:rsid w:val="000F791F"/>
    <w:rsid w:val="000F79E2"/>
    <w:rsid w:val="000F7F69"/>
    <w:rsid w:val="00100077"/>
    <w:rsid w:val="00101722"/>
    <w:rsid w:val="00102BA7"/>
    <w:rsid w:val="00103484"/>
    <w:rsid w:val="00104300"/>
    <w:rsid w:val="001045DA"/>
    <w:rsid w:val="00105D32"/>
    <w:rsid w:val="0010707B"/>
    <w:rsid w:val="00107600"/>
    <w:rsid w:val="00107CE3"/>
    <w:rsid w:val="00111B5F"/>
    <w:rsid w:val="00112981"/>
    <w:rsid w:val="00112D14"/>
    <w:rsid w:val="00113033"/>
    <w:rsid w:val="001133FA"/>
    <w:rsid w:val="00113F4C"/>
    <w:rsid w:val="001146B0"/>
    <w:rsid w:val="001148FF"/>
    <w:rsid w:val="00115AF8"/>
    <w:rsid w:val="001166F6"/>
    <w:rsid w:val="00117133"/>
    <w:rsid w:val="00117CBA"/>
    <w:rsid w:val="00117CFE"/>
    <w:rsid w:val="00120024"/>
    <w:rsid w:val="0012047A"/>
    <w:rsid w:val="001205CE"/>
    <w:rsid w:val="00120CC9"/>
    <w:rsid w:val="0012174C"/>
    <w:rsid w:val="00121944"/>
    <w:rsid w:val="00121A62"/>
    <w:rsid w:val="00121DB3"/>
    <w:rsid w:val="00122C93"/>
    <w:rsid w:val="00123B40"/>
    <w:rsid w:val="001247D0"/>
    <w:rsid w:val="00124AE1"/>
    <w:rsid w:val="00125511"/>
    <w:rsid w:val="00125726"/>
    <w:rsid w:val="00125A45"/>
    <w:rsid w:val="00125D3A"/>
    <w:rsid w:val="0013098A"/>
    <w:rsid w:val="0013223B"/>
    <w:rsid w:val="00133871"/>
    <w:rsid w:val="00133D5B"/>
    <w:rsid w:val="00135877"/>
    <w:rsid w:val="0013588B"/>
    <w:rsid w:val="00135F67"/>
    <w:rsid w:val="001411DE"/>
    <w:rsid w:val="0014205A"/>
    <w:rsid w:val="00142277"/>
    <w:rsid w:val="0014317D"/>
    <w:rsid w:val="00143622"/>
    <w:rsid w:val="00143B51"/>
    <w:rsid w:val="00144567"/>
    <w:rsid w:val="001457B7"/>
    <w:rsid w:val="00145C83"/>
    <w:rsid w:val="00145CC7"/>
    <w:rsid w:val="00147423"/>
    <w:rsid w:val="00147708"/>
    <w:rsid w:val="0015183A"/>
    <w:rsid w:val="00151872"/>
    <w:rsid w:val="0015209D"/>
    <w:rsid w:val="00153651"/>
    <w:rsid w:val="00153EC6"/>
    <w:rsid w:val="00154082"/>
    <w:rsid w:val="001548A6"/>
    <w:rsid w:val="00155537"/>
    <w:rsid w:val="00155E9C"/>
    <w:rsid w:val="001561B1"/>
    <w:rsid w:val="00156D4A"/>
    <w:rsid w:val="00156EA7"/>
    <w:rsid w:val="001576FC"/>
    <w:rsid w:val="00157BDD"/>
    <w:rsid w:val="00157EDB"/>
    <w:rsid w:val="00161DD4"/>
    <w:rsid w:val="00162BD6"/>
    <w:rsid w:val="00162C66"/>
    <w:rsid w:val="0016404E"/>
    <w:rsid w:val="001643D1"/>
    <w:rsid w:val="001662CD"/>
    <w:rsid w:val="0016705E"/>
    <w:rsid w:val="001700E5"/>
    <w:rsid w:val="00171675"/>
    <w:rsid w:val="001723B9"/>
    <w:rsid w:val="0017248C"/>
    <w:rsid w:val="0017257C"/>
    <w:rsid w:val="00172DFD"/>
    <w:rsid w:val="00175063"/>
    <w:rsid w:val="00175091"/>
    <w:rsid w:val="001754D1"/>
    <w:rsid w:val="00175D95"/>
    <w:rsid w:val="0017672C"/>
    <w:rsid w:val="00180A92"/>
    <w:rsid w:val="00181B02"/>
    <w:rsid w:val="00182396"/>
    <w:rsid w:val="00182A70"/>
    <w:rsid w:val="001830FC"/>
    <w:rsid w:val="0018320D"/>
    <w:rsid w:val="00184397"/>
    <w:rsid w:val="001847B7"/>
    <w:rsid w:val="00186AF7"/>
    <w:rsid w:val="00186CF7"/>
    <w:rsid w:val="00187809"/>
    <w:rsid w:val="001905A2"/>
    <w:rsid w:val="00190A5F"/>
    <w:rsid w:val="00191340"/>
    <w:rsid w:val="00191852"/>
    <w:rsid w:val="001923A8"/>
    <w:rsid w:val="00192647"/>
    <w:rsid w:val="00193D10"/>
    <w:rsid w:val="00194D0F"/>
    <w:rsid w:val="001952FF"/>
    <w:rsid w:val="00195D34"/>
    <w:rsid w:val="00196533"/>
    <w:rsid w:val="00197E31"/>
    <w:rsid w:val="001A028A"/>
    <w:rsid w:val="001A0787"/>
    <w:rsid w:val="001A125F"/>
    <w:rsid w:val="001A1281"/>
    <w:rsid w:val="001A155A"/>
    <w:rsid w:val="001A1909"/>
    <w:rsid w:val="001A23B7"/>
    <w:rsid w:val="001A5118"/>
    <w:rsid w:val="001A5238"/>
    <w:rsid w:val="001A54E4"/>
    <w:rsid w:val="001A5864"/>
    <w:rsid w:val="001A5C3C"/>
    <w:rsid w:val="001A5C9D"/>
    <w:rsid w:val="001A5CBD"/>
    <w:rsid w:val="001A6B4B"/>
    <w:rsid w:val="001A720D"/>
    <w:rsid w:val="001A7286"/>
    <w:rsid w:val="001B0051"/>
    <w:rsid w:val="001B084D"/>
    <w:rsid w:val="001B0C3D"/>
    <w:rsid w:val="001B0D86"/>
    <w:rsid w:val="001B1E48"/>
    <w:rsid w:val="001B2B06"/>
    <w:rsid w:val="001B7291"/>
    <w:rsid w:val="001B7436"/>
    <w:rsid w:val="001B774A"/>
    <w:rsid w:val="001B78D4"/>
    <w:rsid w:val="001C0354"/>
    <w:rsid w:val="001C1E49"/>
    <w:rsid w:val="001C3111"/>
    <w:rsid w:val="001C3EB9"/>
    <w:rsid w:val="001C48A4"/>
    <w:rsid w:val="001C4F9A"/>
    <w:rsid w:val="001C5C4A"/>
    <w:rsid w:val="001C7062"/>
    <w:rsid w:val="001C75FE"/>
    <w:rsid w:val="001C7C54"/>
    <w:rsid w:val="001D0739"/>
    <w:rsid w:val="001D1DCB"/>
    <w:rsid w:val="001D24B4"/>
    <w:rsid w:val="001D24C2"/>
    <w:rsid w:val="001D252E"/>
    <w:rsid w:val="001D2842"/>
    <w:rsid w:val="001D30CA"/>
    <w:rsid w:val="001D30E0"/>
    <w:rsid w:val="001D35C7"/>
    <w:rsid w:val="001D3E58"/>
    <w:rsid w:val="001D3EEC"/>
    <w:rsid w:val="001D4373"/>
    <w:rsid w:val="001D4875"/>
    <w:rsid w:val="001D4D94"/>
    <w:rsid w:val="001D62B3"/>
    <w:rsid w:val="001D6760"/>
    <w:rsid w:val="001D6D11"/>
    <w:rsid w:val="001D6E9E"/>
    <w:rsid w:val="001D7C21"/>
    <w:rsid w:val="001E024C"/>
    <w:rsid w:val="001E04D6"/>
    <w:rsid w:val="001E12FF"/>
    <w:rsid w:val="001E16AE"/>
    <w:rsid w:val="001E31A3"/>
    <w:rsid w:val="001E3C79"/>
    <w:rsid w:val="001E4485"/>
    <w:rsid w:val="001E5101"/>
    <w:rsid w:val="001E6EE5"/>
    <w:rsid w:val="001E7718"/>
    <w:rsid w:val="001E7A96"/>
    <w:rsid w:val="001F04F1"/>
    <w:rsid w:val="001F1619"/>
    <w:rsid w:val="001F1621"/>
    <w:rsid w:val="001F2038"/>
    <w:rsid w:val="001F28B9"/>
    <w:rsid w:val="001F2BB1"/>
    <w:rsid w:val="001F2CFD"/>
    <w:rsid w:val="001F324F"/>
    <w:rsid w:val="001F4358"/>
    <w:rsid w:val="001F5172"/>
    <w:rsid w:val="001F51F9"/>
    <w:rsid w:val="001F5C5F"/>
    <w:rsid w:val="001F5DAB"/>
    <w:rsid w:val="001F748C"/>
    <w:rsid w:val="001F7500"/>
    <w:rsid w:val="001F7AD1"/>
    <w:rsid w:val="001F7ED0"/>
    <w:rsid w:val="00201149"/>
    <w:rsid w:val="002013A5"/>
    <w:rsid w:val="002023EE"/>
    <w:rsid w:val="00203225"/>
    <w:rsid w:val="002069C6"/>
    <w:rsid w:val="00206B61"/>
    <w:rsid w:val="002077B1"/>
    <w:rsid w:val="00207BE2"/>
    <w:rsid w:val="00207F3F"/>
    <w:rsid w:val="002105D6"/>
    <w:rsid w:val="00210EE4"/>
    <w:rsid w:val="002110A2"/>
    <w:rsid w:val="00211596"/>
    <w:rsid w:val="00211649"/>
    <w:rsid w:val="002119E1"/>
    <w:rsid w:val="00211D34"/>
    <w:rsid w:val="002126EA"/>
    <w:rsid w:val="00212F51"/>
    <w:rsid w:val="002135BE"/>
    <w:rsid w:val="00214169"/>
    <w:rsid w:val="002161ED"/>
    <w:rsid w:val="00216239"/>
    <w:rsid w:val="00220112"/>
    <w:rsid w:val="00220DF5"/>
    <w:rsid w:val="00222DA6"/>
    <w:rsid w:val="00223920"/>
    <w:rsid w:val="00223E72"/>
    <w:rsid w:val="0022443E"/>
    <w:rsid w:val="00224A4F"/>
    <w:rsid w:val="002250B1"/>
    <w:rsid w:val="00225BC6"/>
    <w:rsid w:val="00226D1F"/>
    <w:rsid w:val="00227307"/>
    <w:rsid w:val="00227D10"/>
    <w:rsid w:val="0023079C"/>
    <w:rsid w:val="00231E7B"/>
    <w:rsid w:val="002322E1"/>
    <w:rsid w:val="002323E1"/>
    <w:rsid w:val="00232BD3"/>
    <w:rsid w:val="0023345D"/>
    <w:rsid w:val="00233573"/>
    <w:rsid w:val="00233C19"/>
    <w:rsid w:val="00233F44"/>
    <w:rsid w:val="002344FB"/>
    <w:rsid w:val="0023582A"/>
    <w:rsid w:val="00236175"/>
    <w:rsid w:val="002364C4"/>
    <w:rsid w:val="00236690"/>
    <w:rsid w:val="002370DB"/>
    <w:rsid w:val="00240CF3"/>
    <w:rsid w:val="00240D4F"/>
    <w:rsid w:val="00241B65"/>
    <w:rsid w:val="00241E7A"/>
    <w:rsid w:val="002433E7"/>
    <w:rsid w:val="00243566"/>
    <w:rsid w:val="002440B8"/>
    <w:rsid w:val="0024415E"/>
    <w:rsid w:val="002445D4"/>
    <w:rsid w:val="00244B30"/>
    <w:rsid w:val="00246599"/>
    <w:rsid w:val="0024728F"/>
    <w:rsid w:val="00247ABC"/>
    <w:rsid w:val="00250225"/>
    <w:rsid w:val="00250DAA"/>
    <w:rsid w:val="0025100A"/>
    <w:rsid w:val="00251B11"/>
    <w:rsid w:val="00252967"/>
    <w:rsid w:val="00252F93"/>
    <w:rsid w:val="00253F96"/>
    <w:rsid w:val="00254E8B"/>
    <w:rsid w:val="002578D3"/>
    <w:rsid w:val="00260CBF"/>
    <w:rsid w:val="002632E2"/>
    <w:rsid w:val="002646A7"/>
    <w:rsid w:val="00264E6E"/>
    <w:rsid w:val="00264EC9"/>
    <w:rsid w:val="00264F29"/>
    <w:rsid w:val="0026512C"/>
    <w:rsid w:val="00265729"/>
    <w:rsid w:val="00266FB8"/>
    <w:rsid w:val="00267386"/>
    <w:rsid w:val="0026753D"/>
    <w:rsid w:val="00267AF3"/>
    <w:rsid w:val="00267C7F"/>
    <w:rsid w:val="00267D68"/>
    <w:rsid w:val="00267D72"/>
    <w:rsid w:val="00267FF1"/>
    <w:rsid w:val="00270274"/>
    <w:rsid w:val="00271220"/>
    <w:rsid w:val="00272830"/>
    <w:rsid w:val="0027333B"/>
    <w:rsid w:val="00273B65"/>
    <w:rsid w:val="00273F10"/>
    <w:rsid w:val="00273F38"/>
    <w:rsid w:val="00274C56"/>
    <w:rsid w:val="0027556F"/>
    <w:rsid w:val="0028073D"/>
    <w:rsid w:val="00280A9F"/>
    <w:rsid w:val="002811C3"/>
    <w:rsid w:val="0028241D"/>
    <w:rsid w:val="00283295"/>
    <w:rsid w:val="00283EEF"/>
    <w:rsid w:val="00284485"/>
    <w:rsid w:val="00284D7B"/>
    <w:rsid w:val="002855D7"/>
    <w:rsid w:val="00286AA7"/>
    <w:rsid w:val="00286DE0"/>
    <w:rsid w:val="00290D4E"/>
    <w:rsid w:val="00290F26"/>
    <w:rsid w:val="00291444"/>
    <w:rsid w:val="00291968"/>
    <w:rsid w:val="00292409"/>
    <w:rsid w:val="00292B91"/>
    <w:rsid w:val="00292F03"/>
    <w:rsid w:val="00293093"/>
    <w:rsid w:val="00293389"/>
    <w:rsid w:val="00293A63"/>
    <w:rsid w:val="002953EB"/>
    <w:rsid w:val="002962BF"/>
    <w:rsid w:val="002965CB"/>
    <w:rsid w:val="00296A21"/>
    <w:rsid w:val="00296AC0"/>
    <w:rsid w:val="00296BCE"/>
    <w:rsid w:val="00297117"/>
    <w:rsid w:val="00297CD5"/>
    <w:rsid w:val="002A0826"/>
    <w:rsid w:val="002A0B32"/>
    <w:rsid w:val="002A222D"/>
    <w:rsid w:val="002A2244"/>
    <w:rsid w:val="002A2E8D"/>
    <w:rsid w:val="002A318F"/>
    <w:rsid w:val="002A4664"/>
    <w:rsid w:val="002A52A4"/>
    <w:rsid w:val="002A55C1"/>
    <w:rsid w:val="002A5AB2"/>
    <w:rsid w:val="002A70DE"/>
    <w:rsid w:val="002A7C6F"/>
    <w:rsid w:val="002B1307"/>
    <w:rsid w:val="002B1B3A"/>
    <w:rsid w:val="002B231C"/>
    <w:rsid w:val="002B395D"/>
    <w:rsid w:val="002B5711"/>
    <w:rsid w:val="002B58CA"/>
    <w:rsid w:val="002B6099"/>
    <w:rsid w:val="002B7305"/>
    <w:rsid w:val="002C003D"/>
    <w:rsid w:val="002C0517"/>
    <w:rsid w:val="002C051A"/>
    <w:rsid w:val="002C0B23"/>
    <w:rsid w:val="002C11A0"/>
    <w:rsid w:val="002C2A28"/>
    <w:rsid w:val="002C2D2F"/>
    <w:rsid w:val="002C3DC6"/>
    <w:rsid w:val="002C3E45"/>
    <w:rsid w:val="002C4753"/>
    <w:rsid w:val="002C4C12"/>
    <w:rsid w:val="002C4E15"/>
    <w:rsid w:val="002C7148"/>
    <w:rsid w:val="002D07A3"/>
    <w:rsid w:val="002D136D"/>
    <w:rsid w:val="002D14EA"/>
    <w:rsid w:val="002D1764"/>
    <w:rsid w:val="002D1CF0"/>
    <w:rsid w:val="002D2332"/>
    <w:rsid w:val="002D2864"/>
    <w:rsid w:val="002D2A13"/>
    <w:rsid w:val="002D2DFA"/>
    <w:rsid w:val="002D4DC4"/>
    <w:rsid w:val="002D561D"/>
    <w:rsid w:val="002D581B"/>
    <w:rsid w:val="002D60D8"/>
    <w:rsid w:val="002D6549"/>
    <w:rsid w:val="002D6860"/>
    <w:rsid w:val="002D7425"/>
    <w:rsid w:val="002D7E00"/>
    <w:rsid w:val="002E0A67"/>
    <w:rsid w:val="002E0F5A"/>
    <w:rsid w:val="002E22ED"/>
    <w:rsid w:val="002E2310"/>
    <w:rsid w:val="002E3491"/>
    <w:rsid w:val="002E3662"/>
    <w:rsid w:val="002E42B6"/>
    <w:rsid w:val="002E4C77"/>
    <w:rsid w:val="002E6851"/>
    <w:rsid w:val="002E69B0"/>
    <w:rsid w:val="002E6FC4"/>
    <w:rsid w:val="002F1D3E"/>
    <w:rsid w:val="002F2AD1"/>
    <w:rsid w:val="002F3658"/>
    <w:rsid w:val="002F424E"/>
    <w:rsid w:val="002F4257"/>
    <w:rsid w:val="002F4E72"/>
    <w:rsid w:val="002F5F65"/>
    <w:rsid w:val="002F668A"/>
    <w:rsid w:val="002F77F2"/>
    <w:rsid w:val="002F78E3"/>
    <w:rsid w:val="002F7E9D"/>
    <w:rsid w:val="00301557"/>
    <w:rsid w:val="003024D8"/>
    <w:rsid w:val="003025F5"/>
    <w:rsid w:val="003033E5"/>
    <w:rsid w:val="00304E90"/>
    <w:rsid w:val="00305809"/>
    <w:rsid w:val="003060D8"/>
    <w:rsid w:val="003066B9"/>
    <w:rsid w:val="003078FC"/>
    <w:rsid w:val="00307BD7"/>
    <w:rsid w:val="00310D64"/>
    <w:rsid w:val="00311A1C"/>
    <w:rsid w:val="0031230A"/>
    <w:rsid w:val="00312576"/>
    <w:rsid w:val="00312C0C"/>
    <w:rsid w:val="0031388A"/>
    <w:rsid w:val="0031396B"/>
    <w:rsid w:val="0031476C"/>
    <w:rsid w:val="00314A7E"/>
    <w:rsid w:val="0031500D"/>
    <w:rsid w:val="00315D34"/>
    <w:rsid w:val="003163CC"/>
    <w:rsid w:val="003178B4"/>
    <w:rsid w:val="003227FD"/>
    <w:rsid w:val="0032346E"/>
    <w:rsid w:val="00323D97"/>
    <w:rsid w:val="003243E3"/>
    <w:rsid w:val="00324D08"/>
    <w:rsid w:val="00325498"/>
    <w:rsid w:val="0032622E"/>
    <w:rsid w:val="0032657F"/>
    <w:rsid w:val="003271FB"/>
    <w:rsid w:val="003279CE"/>
    <w:rsid w:val="00327EA8"/>
    <w:rsid w:val="00330970"/>
    <w:rsid w:val="003310BA"/>
    <w:rsid w:val="003319BB"/>
    <w:rsid w:val="0033243E"/>
    <w:rsid w:val="0033424D"/>
    <w:rsid w:val="0033439D"/>
    <w:rsid w:val="00334EDE"/>
    <w:rsid w:val="00335BC6"/>
    <w:rsid w:val="00335E3A"/>
    <w:rsid w:val="00336065"/>
    <w:rsid w:val="00337A98"/>
    <w:rsid w:val="00337DC6"/>
    <w:rsid w:val="00340836"/>
    <w:rsid w:val="00340B7C"/>
    <w:rsid w:val="00340E3D"/>
    <w:rsid w:val="00340EB8"/>
    <w:rsid w:val="00341297"/>
    <w:rsid w:val="003427E9"/>
    <w:rsid w:val="003438DF"/>
    <w:rsid w:val="003448B8"/>
    <w:rsid w:val="00346A5A"/>
    <w:rsid w:val="00346E23"/>
    <w:rsid w:val="003525EB"/>
    <w:rsid w:val="00352B2D"/>
    <w:rsid w:val="00353408"/>
    <w:rsid w:val="00353936"/>
    <w:rsid w:val="00354544"/>
    <w:rsid w:val="003554E5"/>
    <w:rsid w:val="003566AC"/>
    <w:rsid w:val="003566E6"/>
    <w:rsid w:val="0036109F"/>
    <w:rsid w:val="00362FF1"/>
    <w:rsid w:val="003638B4"/>
    <w:rsid w:val="0036445C"/>
    <w:rsid w:val="00364FEF"/>
    <w:rsid w:val="003656E2"/>
    <w:rsid w:val="003667C3"/>
    <w:rsid w:val="00366F9D"/>
    <w:rsid w:val="00367CC0"/>
    <w:rsid w:val="00370177"/>
    <w:rsid w:val="00370913"/>
    <w:rsid w:val="00370F6C"/>
    <w:rsid w:val="00372397"/>
    <w:rsid w:val="003725C2"/>
    <w:rsid w:val="0037297D"/>
    <w:rsid w:val="0037313D"/>
    <w:rsid w:val="0037338A"/>
    <w:rsid w:val="003735D4"/>
    <w:rsid w:val="00373DBB"/>
    <w:rsid w:val="00375005"/>
    <w:rsid w:val="00375583"/>
    <w:rsid w:val="00376091"/>
    <w:rsid w:val="003765F6"/>
    <w:rsid w:val="00376C35"/>
    <w:rsid w:val="003805E3"/>
    <w:rsid w:val="00381383"/>
    <w:rsid w:val="003815E5"/>
    <w:rsid w:val="00381DE0"/>
    <w:rsid w:val="00383035"/>
    <w:rsid w:val="0038379A"/>
    <w:rsid w:val="0038384E"/>
    <w:rsid w:val="00383B87"/>
    <w:rsid w:val="00384BFC"/>
    <w:rsid w:val="00384D41"/>
    <w:rsid w:val="00385B0E"/>
    <w:rsid w:val="00385FC1"/>
    <w:rsid w:val="0039012F"/>
    <w:rsid w:val="0039023C"/>
    <w:rsid w:val="00390584"/>
    <w:rsid w:val="00390FEF"/>
    <w:rsid w:val="00391F32"/>
    <w:rsid w:val="003932B0"/>
    <w:rsid w:val="00393AFF"/>
    <w:rsid w:val="00393B8D"/>
    <w:rsid w:val="00394126"/>
    <w:rsid w:val="00394599"/>
    <w:rsid w:val="00394BA2"/>
    <w:rsid w:val="00394DE0"/>
    <w:rsid w:val="003958AC"/>
    <w:rsid w:val="003959B0"/>
    <w:rsid w:val="003959F6"/>
    <w:rsid w:val="00396BA9"/>
    <w:rsid w:val="00396C3B"/>
    <w:rsid w:val="00397937"/>
    <w:rsid w:val="003A1D72"/>
    <w:rsid w:val="003A1EB7"/>
    <w:rsid w:val="003A26EE"/>
    <w:rsid w:val="003A2EB9"/>
    <w:rsid w:val="003A706E"/>
    <w:rsid w:val="003A7400"/>
    <w:rsid w:val="003B073E"/>
    <w:rsid w:val="003B16A6"/>
    <w:rsid w:val="003B33A3"/>
    <w:rsid w:val="003B380A"/>
    <w:rsid w:val="003B4C21"/>
    <w:rsid w:val="003B7938"/>
    <w:rsid w:val="003B7F2E"/>
    <w:rsid w:val="003C0415"/>
    <w:rsid w:val="003C0917"/>
    <w:rsid w:val="003C09FE"/>
    <w:rsid w:val="003C15F2"/>
    <w:rsid w:val="003C1FFC"/>
    <w:rsid w:val="003C2469"/>
    <w:rsid w:val="003C24EC"/>
    <w:rsid w:val="003C2FB1"/>
    <w:rsid w:val="003C360B"/>
    <w:rsid w:val="003C378C"/>
    <w:rsid w:val="003C3DAC"/>
    <w:rsid w:val="003C4657"/>
    <w:rsid w:val="003C4D84"/>
    <w:rsid w:val="003C644A"/>
    <w:rsid w:val="003C7972"/>
    <w:rsid w:val="003C7AD4"/>
    <w:rsid w:val="003D07A7"/>
    <w:rsid w:val="003D17EE"/>
    <w:rsid w:val="003D2A18"/>
    <w:rsid w:val="003D2FB6"/>
    <w:rsid w:val="003D3967"/>
    <w:rsid w:val="003D3ED2"/>
    <w:rsid w:val="003D4CBD"/>
    <w:rsid w:val="003D52C1"/>
    <w:rsid w:val="003D564A"/>
    <w:rsid w:val="003D632C"/>
    <w:rsid w:val="003D6AB3"/>
    <w:rsid w:val="003D6CE4"/>
    <w:rsid w:val="003D7892"/>
    <w:rsid w:val="003D7B21"/>
    <w:rsid w:val="003E137D"/>
    <w:rsid w:val="003E2A6D"/>
    <w:rsid w:val="003E2A79"/>
    <w:rsid w:val="003E2E33"/>
    <w:rsid w:val="003E347B"/>
    <w:rsid w:val="003E451F"/>
    <w:rsid w:val="003E4C4A"/>
    <w:rsid w:val="003E4F12"/>
    <w:rsid w:val="003E5EDA"/>
    <w:rsid w:val="003F04A1"/>
    <w:rsid w:val="003F05B7"/>
    <w:rsid w:val="003F0930"/>
    <w:rsid w:val="003F2AEA"/>
    <w:rsid w:val="003F2E5C"/>
    <w:rsid w:val="003F32AF"/>
    <w:rsid w:val="003F3A46"/>
    <w:rsid w:val="003F469E"/>
    <w:rsid w:val="003F4D69"/>
    <w:rsid w:val="003F5946"/>
    <w:rsid w:val="003F62F7"/>
    <w:rsid w:val="003F6A9A"/>
    <w:rsid w:val="003F6EC4"/>
    <w:rsid w:val="003F771E"/>
    <w:rsid w:val="003F7B05"/>
    <w:rsid w:val="004001A3"/>
    <w:rsid w:val="00404EF7"/>
    <w:rsid w:val="004050E7"/>
    <w:rsid w:val="00405A96"/>
    <w:rsid w:val="00406DBB"/>
    <w:rsid w:val="00406EAB"/>
    <w:rsid w:val="004075EA"/>
    <w:rsid w:val="00407697"/>
    <w:rsid w:val="00412007"/>
    <w:rsid w:val="00412CAB"/>
    <w:rsid w:val="00413BBA"/>
    <w:rsid w:val="00413F15"/>
    <w:rsid w:val="00414811"/>
    <w:rsid w:val="00415251"/>
    <w:rsid w:val="00416A1E"/>
    <w:rsid w:val="00416CE5"/>
    <w:rsid w:val="00417583"/>
    <w:rsid w:val="00420063"/>
    <w:rsid w:val="00420622"/>
    <w:rsid w:val="00421B22"/>
    <w:rsid w:val="00424512"/>
    <w:rsid w:val="004246FE"/>
    <w:rsid w:val="0042528E"/>
    <w:rsid w:val="0042632F"/>
    <w:rsid w:val="004272F8"/>
    <w:rsid w:val="00427EC7"/>
    <w:rsid w:val="004306A5"/>
    <w:rsid w:val="004322FD"/>
    <w:rsid w:val="004328CF"/>
    <w:rsid w:val="00432A7F"/>
    <w:rsid w:val="00432A91"/>
    <w:rsid w:val="00432E89"/>
    <w:rsid w:val="00433F6E"/>
    <w:rsid w:val="00434576"/>
    <w:rsid w:val="00434DDB"/>
    <w:rsid w:val="00434E47"/>
    <w:rsid w:val="004357E2"/>
    <w:rsid w:val="00435A80"/>
    <w:rsid w:val="00435B31"/>
    <w:rsid w:val="00437D66"/>
    <w:rsid w:val="004404EE"/>
    <w:rsid w:val="00441A8F"/>
    <w:rsid w:val="00441DB6"/>
    <w:rsid w:val="00441E55"/>
    <w:rsid w:val="004425C4"/>
    <w:rsid w:val="004437EC"/>
    <w:rsid w:val="00444F80"/>
    <w:rsid w:val="004450CF"/>
    <w:rsid w:val="00445DCF"/>
    <w:rsid w:val="0044616E"/>
    <w:rsid w:val="004470AE"/>
    <w:rsid w:val="00450D4B"/>
    <w:rsid w:val="0045197D"/>
    <w:rsid w:val="00451A90"/>
    <w:rsid w:val="00452440"/>
    <w:rsid w:val="00452744"/>
    <w:rsid w:val="00452F0C"/>
    <w:rsid w:val="00453EB1"/>
    <w:rsid w:val="00453EBC"/>
    <w:rsid w:val="00456681"/>
    <w:rsid w:val="00456939"/>
    <w:rsid w:val="00457FED"/>
    <w:rsid w:val="0046033A"/>
    <w:rsid w:val="00460E56"/>
    <w:rsid w:val="004618E7"/>
    <w:rsid w:val="00461E56"/>
    <w:rsid w:val="00461E6C"/>
    <w:rsid w:val="004625BF"/>
    <w:rsid w:val="00462C47"/>
    <w:rsid w:val="004630A1"/>
    <w:rsid w:val="004635A3"/>
    <w:rsid w:val="004636DF"/>
    <w:rsid w:val="00465BCD"/>
    <w:rsid w:val="00465D84"/>
    <w:rsid w:val="004672AC"/>
    <w:rsid w:val="00467ABE"/>
    <w:rsid w:val="00467F74"/>
    <w:rsid w:val="00470F63"/>
    <w:rsid w:val="00471016"/>
    <w:rsid w:val="004711C7"/>
    <w:rsid w:val="00471735"/>
    <w:rsid w:val="00471F6F"/>
    <w:rsid w:val="0047385D"/>
    <w:rsid w:val="00473C06"/>
    <w:rsid w:val="00474A40"/>
    <w:rsid w:val="00475803"/>
    <w:rsid w:val="00476436"/>
    <w:rsid w:val="00477493"/>
    <w:rsid w:val="004774FB"/>
    <w:rsid w:val="00481A44"/>
    <w:rsid w:val="00482A3C"/>
    <w:rsid w:val="00482B04"/>
    <w:rsid w:val="00483052"/>
    <w:rsid w:val="00483425"/>
    <w:rsid w:val="00484D84"/>
    <w:rsid w:val="00485607"/>
    <w:rsid w:val="00485B81"/>
    <w:rsid w:val="00486D7C"/>
    <w:rsid w:val="0048700A"/>
    <w:rsid w:val="004874CE"/>
    <w:rsid w:val="00487D73"/>
    <w:rsid w:val="00490C0A"/>
    <w:rsid w:val="00490D7A"/>
    <w:rsid w:val="00491067"/>
    <w:rsid w:val="00491158"/>
    <w:rsid w:val="00491F1F"/>
    <w:rsid w:val="00492327"/>
    <w:rsid w:val="00492A39"/>
    <w:rsid w:val="00492E7B"/>
    <w:rsid w:val="004938ED"/>
    <w:rsid w:val="00493C48"/>
    <w:rsid w:val="00495BBA"/>
    <w:rsid w:val="00496152"/>
    <w:rsid w:val="004A0719"/>
    <w:rsid w:val="004A120A"/>
    <w:rsid w:val="004A1647"/>
    <w:rsid w:val="004A1E80"/>
    <w:rsid w:val="004A1F75"/>
    <w:rsid w:val="004A36E5"/>
    <w:rsid w:val="004A38A4"/>
    <w:rsid w:val="004A57BC"/>
    <w:rsid w:val="004A5A99"/>
    <w:rsid w:val="004A5DC9"/>
    <w:rsid w:val="004B02C8"/>
    <w:rsid w:val="004B0B1E"/>
    <w:rsid w:val="004B0FA8"/>
    <w:rsid w:val="004B115F"/>
    <w:rsid w:val="004B116A"/>
    <w:rsid w:val="004B2088"/>
    <w:rsid w:val="004B2460"/>
    <w:rsid w:val="004B2EDF"/>
    <w:rsid w:val="004B3CFD"/>
    <w:rsid w:val="004B40E1"/>
    <w:rsid w:val="004B4471"/>
    <w:rsid w:val="004B45CF"/>
    <w:rsid w:val="004B4623"/>
    <w:rsid w:val="004B511C"/>
    <w:rsid w:val="004B5133"/>
    <w:rsid w:val="004B58A3"/>
    <w:rsid w:val="004B5A5A"/>
    <w:rsid w:val="004B5B36"/>
    <w:rsid w:val="004B63AB"/>
    <w:rsid w:val="004B6D47"/>
    <w:rsid w:val="004B7472"/>
    <w:rsid w:val="004B7650"/>
    <w:rsid w:val="004B76A0"/>
    <w:rsid w:val="004B7901"/>
    <w:rsid w:val="004B7B66"/>
    <w:rsid w:val="004B7E18"/>
    <w:rsid w:val="004C00EE"/>
    <w:rsid w:val="004C0336"/>
    <w:rsid w:val="004C090B"/>
    <w:rsid w:val="004C1259"/>
    <w:rsid w:val="004C22C1"/>
    <w:rsid w:val="004C2887"/>
    <w:rsid w:val="004C4629"/>
    <w:rsid w:val="004C5319"/>
    <w:rsid w:val="004C5756"/>
    <w:rsid w:val="004C669B"/>
    <w:rsid w:val="004C68D7"/>
    <w:rsid w:val="004C6A29"/>
    <w:rsid w:val="004C72C2"/>
    <w:rsid w:val="004C7976"/>
    <w:rsid w:val="004D045E"/>
    <w:rsid w:val="004D0DDD"/>
    <w:rsid w:val="004D1D79"/>
    <w:rsid w:val="004D1E04"/>
    <w:rsid w:val="004D2B5E"/>
    <w:rsid w:val="004D2F98"/>
    <w:rsid w:val="004D4105"/>
    <w:rsid w:val="004D59E6"/>
    <w:rsid w:val="004D5E67"/>
    <w:rsid w:val="004D65BF"/>
    <w:rsid w:val="004E0BAB"/>
    <w:rsid w:val="004E102A"/>
    <w:rsid w:val="004E1035"/>
    <w:rsid w:val="004E1687"/>
    <w:rsid w:val="004E1EDE"/>
    <w:rsid w:val="004E223B"/>
    <w:rsid w:val="004E2632"/>
    <w:rsid w:val="004E28B4"/>
    <w:rsid w:val="004E4F70"/>
    <w:rsid w:val="004E52C1"/>
    <w:rsid w:val="004E59BC"/>
    <w:rsid w:val="004E5A1D"/>
    <w:rsid w:val="004E5BC0"/>
    <w:rsid w:val="004E7434"/>
    <w:rsid w:val="004E7655"/>
    <w:rsid w:val="004E7E96"/>
    <w:rsid w:val="004F1E33"/>
    <w:rsid w:val="004F34D9"/>
    <w:rsid w:val="004F3776"/>
    <w:rsid w:val="004F39A4"/>
    <w:rsid w:val="004F40E7"/>
    <w:rsid w:val="004F4BBB"/>
    <w:rsid w:val="004F6669"/>
    <w:rsid w:val="004F6CF7"/>
    <w:rsid w:val="004F77AC"/>
    <w:rsid w:val="0050055E"/>
    <w:rsid w:val="0050078B"/>
    <w:rsid w:val="00500FF5"/>
    <w:rsid w:val="005013BF"/>
    <w:rsid w:val="00501CD0"/>
    <w:rsid w:val="00503528"/>
    <w:rsid w:val="00503C18"/>
    <w:rsid w:val="00503E8F"/>
    <w:rsid w:val="005046DD"/>
    <w:rsid w:val="00504E48"/>
    <w:rsid w:val="00504EC8"/>
    <w:rsid w:val="0050658D"/>
    <w:rsid w:val="00507A95"/>
    <w:rsid w:val="00510342"/>
    <w:rsid w:val="00511AB8"/>
    <w:rsid w:val="00512287"/>
    <w:rsid w:val="00512480"/>
    <w:rsid w:val="00512DA3"/>
    <w:rsid w:val="00512FAD"/>
    <w:rsid w:val="005131C2"/>
    <w:rsid w:val="0051323F"/>
    <w:rsid w:val="00513CD1"/>
    <w:rsid w:val="00513E82"/>
    <w:rsid w:val="00514B00"/>
    <w:rsid w:val="00514D2A"/>
    <w:rsid w:val="00515D16"/>
    <w:rsid w:val="00517767"/>
    <w:rsid w:val="005178D6"/>
    <w:rsid w:val="00517C13"/>
    <w:rsid w:val="00520B7F"/>
    <w:rsid w:val="00521084"/>
    <w:rsid w:val="005219E8"/>
    <w:rsid w:val="00522335"/>
    <w:rsid w:val="005225F5"/>
    <w:rsid w:val="0052350B"/>
    <w:rsid w:val="0052354E"/>
    <w:rsid w:val="005240BC"/>
    <w:rsid w:val="00525635"/>
    <w:rsid w:val="005272B2"/>
    <w:rsid w:val="0052765C"/>
    <w:rsid w:val="00527D85"/>
    <w:rsid w:val="00530552"/>
    <w:rsid w:val="00530DA0"/>
    <w:rsid w:val="00531C5F"/>
    <w:rsid w:val="00532831"/>
    <w:rsid w:val="00533080"/>
    <w:rsid w:val="005333B9"/>
    <w:rsid w:val="0053453D"/>
    <w:rsid w:val="005354A7"/>
    <w:rsid w:val="005366E3"/>
    <w:rsid w:val="00542C69"/>
    <w:rsid w:val="0054327F"/>
    <w:rsid w:val="0054386D"/>
    <w:rsid w:val="005438B2"/>
    <w:rsid w:val="005443A3"/>
    <w:rsid w:val="00544880"/>
    <w:rsid w:val="00544D32"/>
    <w:rsid w:val="00544F89"/>
    <w:rsid w:val="005459E4"/>
    <w:rsid w:val="00545B24"/>
    <w:rsid w:val="0054788C"/>
    <w:rsid w:val="00547AF8"/>
    <w:rsid w:val="00547CC3"/>
    <w:rsid w:val="005512D1"/>
    <w:rsid w:val="00551530"/>
    <w:rsid w:val="00551990"/>
    <w:rsid w:val="00551FAC"/>
    <w:rsid w:val="005529BF"/>
    <w:rsid w:val="00552CE2"/>
    <w:rsid w:val="00552E69"/>
    <w:rsid w:val="00554726"/>
    <w:rsid w:val="00554DDC"/>
    <w:rsid w:val="00555C2E"/>
    <w:rsid w:val="00555EFF"/>
    <w:rsid w:val="00556AF7"/>
    <w:rsid w:val="00557692"/>
    <w:rsid w:val="0055773C"/>
    <w:rsid w:val="00557767"/>
    <w:rsid w:val="005604E9"/>
    <w:rsid w:val="00560A79"/>
    <w:rsid w:val="005624B6"/>
    <w:rsid w:val="00565226"/>
    <w:rsid w:val="00567515"/>
    <w:rsid w:val="00570AD1"/>
    <w:rsid w:val="0057148C"/>
    <w:rsid w:val="00572418"/>
    <w:rsid w:val="00574053"/>
    <w:rsid w:val="00575AA3"/>
    <w:rsid w:val="00576164"/>
    <w:rsid w:val="0057629A"/>
    <w:rsid w:val="005763F8"/>
    <w:rsid w:val="0057667D"/>
    <w:rsid w:val="0057705B"/>
    <w:rsid w:val="00580121"/>
    <w:rsid w:val="005801CA"/>
    <w:rsid w:val="0058063F"/>
    <w:rsid w:val="00581100"/>
    <w:rsid w:val="00582030"/>
    <w:rsid w:val="00582172"/>
    <w:rsid w:val="005833E1"/>
    <w:rsid w:val="00584A0E"/>
    <w:rsid w:val="00584B5B"/>
    <w:rsid w:val="00585C7E"/>
    <w:rsid w:val="00585F22"/>
    <w:rsid w:val="00586239"/>
    <w:rsid w:val="00586829"/>
    <w:rsid w:val="00586A71"/>
    <w:rsid w:val="00587660"/>
    <w:rsid w:val="00587686"/>
    <w:rsid w:val="0059036B"/>
    <w:rsid w:val="00590DD5"/>
    <w:rsid w:val="00591189"/>
    <w:rsid w:val="00591196"/>
    <w:rsid w:val="005914AD"/>
    <w:rsid w:val="005919DA"/>
    <w:rsid w:val="00591C2D"/>
    <w:rsid w:val="0059211A"/>
    <w:rsid w:val="00592BCD"/>
    <w:rsid w:val="00594544"/>
    <w:rsid w:val="0059466B"/>
    <w:rsid w:val="0059553C"/>
    <w:rsid w:val="00595F51"/>
    <w:rsid w:val="005973D2"/>
    <w:rsid w:val="00597FFA"/>
    <w:rsid w:val="005A105A"/>
    <w:rsid w:val="005A2E06"/>
    <w:rsid w:val="005A37C3"/>
    <w:rsid w:val="005A433E"/>
    <w:rsid w:val="005A448F"/>
    <w:rsid w:val="005A46F6"/>
    <w:rsid w:val="005A5FFD"/>
    <w:rsid w:val="005A63AD"/>
    <w:rsid w:val="005A715E"/>
    <w:rsid w:val="005B00D4"/>
    <w:rsid w:val="005B01D8"/>
    <w:rsid w:val="005B081C"/>
    <w:rsid w:val="005B1200"/>
    <w:rsid w:val="005B13A3"/>
    <w:rsid w:val="005B140F"/>
    <w:rsid w:val="005B142A"/>
    <w:rsid w:val="005B23E1"/>
    <w:rsid w:val="005B28B4"/>
    <w:rsid w:val="005B3090"/>
    <w:rsid w:val="005B3B4D"/>
    <w:rsid w:val="005B3C42"/>
    <w:rsid w:val="005B3E00"/>
    <w:rsid w:val="005B4C59"/>
    <w:rsid w:val="005B4F67"/>
    <w:rsid w:val="005B577F"/>
    <w:rsid w:val="005B5FAE"/>
    <w:rsid w:val="005B6684"/>
    <w:rsid w:val="005B7F0D"/>
    <w:rsid w:val="005C00ED"/>
    <w:rsid w:val="005C043C"/>
    <w:rsid w:val="005C05D1"/>
    <w:rsid w:val="005C1B29"/>
    <w:rsid w:val="005C24FF"/>
    <w:rsid w:val="005C2B47"/>
    <w:rsid w:val="005C405D"/>
    <w:rsid w:val="005C4079"/>
    <w:rsid w:val="005C7FED"/>
    <w:rsid w:val="005D07C7"/>
    <w:rsid w:val="005D0E22"/>
    <w:rsid w:val="005D2687"/>
    <w:rsid w:val="005D38FE"/>
    <w:rsid w:val="005D3D82"/>
    <w:rsid w:val="005D412F"/>
    <w:rsid w:val="005D554E"/>
    <w:rsid w:val="005D590E"/>
    <w:rsid w:val="005D61BA"/>
    <w:rsid w:val="005D69FE"/>
    <w:rsid w:val="005D6B37"/>
    <w:rsid w:val="005D6C92"/>
    <w:rsid w:val="005D7FAA"/>
    <w:rsid w:val="005E003F"/>
    <w:rsid w:val="005E1C98"/>
    <w:rsid w:val="005E2B2B"/>
    <w:rsid w:val="005E2BAE"/>
    <w:rsid w:val="005E37D9"/>
    <w:rsid w:val="005E4623"/>
    <w:rsid w:val="005E51D6"/>
    <w:rsid w:val="005E6B79"/>
    <w:rsid w:val="005E6D13"/>
    <w:rsid w:val="005E79F9"/>
    <w:rsid w:val="005F0457"/>
    <w:rsid w:val="005F070B"/>
    <w:rsid w:val="005F0D8D"/>
    <w:rsid w:val="005F1831"/>
    <w:rsid w:val="005F1906"/>
    <w:rsid w:val="005F20E1"/>
    <w:rsid w:val="005F2D33"/>
    <w:rsid w:val="005F3128"/>
    <w:rsid w:val="005F359B"/>
    <w:rsid w:val="005F4F0F"/>
    <w:rsid w:val="005F547B"/>
    <w:rsid w:val="005F560F"/>
    <w:rsid w:val="005F5E00"/>
    <w:rsid w:val="005F5E60"/>
    <w:rsid w:val="005F5EC2"/>
    <w:rsid w:val="005F6287"/>
    <w:rsid w:val="005F6824"/>
    <w:rsid w:val="005F7371"/>
    <w:rsid w:val="005F74E6"/>
    <w:rsid w:val="005F77DF"/>
    <w:rsid w:val="0060038C"/>
    <w:rsid w:val="0060065A"/>
    <w:rsid w:val="0060065C"/>
    <w:rsid w:val="006008DC"/>
    <w:rsid w:val="006011B4"/>
    <w:rsid w:val="00602161"/>
    <w:rsid w:val="00602A81"/>
    <w:rsid w:val="00602BF7"/>
    <w:rsid w:val="00602D6F"/>
    <w:rsid w:val="00602EAE"/>
    <w:rsid w:val="00603216"/>
    <w:rsid w:val="00603374"/>
    <w:rsid w:val="006039D6"/>
    <w:rsid w:val="00603AC3"/>
    <w:rsid w:val="00604406"/>
    <w:rsid w:val="0060447B"/>
    <w:rsid w:val="0060571E"/>
    <w:rsid w:val="00605E4D"/>
    <w:rsid w:val="00606003"/>
    <w:rsid w:val="00606072"/>
    <w:rsid w:val="00606883"/>
    <w:rsid w:val="00606E81"/>
    <w:rsid w:val="00606E9D"/>
    <w:rsid w:val="00610656"/>
    <w:rsid w:val="00611345"/>
    <w:rsid w:val="006114DA"/>
    <w:rsid w:val="00612E78"/>
    <w:rsid w:val="00614DD9"/>
    <w:rsid w:val="00615EEB"/>
    <w:rsid w:val="0061615F"/>
    <w:rsid w:val="00617CA0"/>
    <w:rsid w:val="00620748"/>
    <w:rsid w:val="00620AE4"/>
    <w:rsid w:val="00620F7F"/>
    <w:rsid w:val="00623640"/>
    <w:rsid w:val="00623D07"/>
    <w:rsid w:val="00623E97"/>
    <w:rsid w:val="00624000"/>
    <w:rsid w:val="006249CA"/>
    <w:rsid w:val="00624AB2"/>
    <w:rsid w:val="0062590E"/>
    <w:rsid w:val="00625A37"/>
    <w:rsid w:val="00625F17"/>
    <w:rsid w:val="00626159"/>
    <w:rsid w:val="00626580"/>
    <w:rsid w:val="00627AB8"/>
    <w:rsid w:val="00627D45"/>
    <w:rsid w:val="006318FA"/>
    <w:rsid w:val="00631C37"/>
    <w:rsid w:val="00632728"/>
    <w:rsid w:val="00632A6C"/>
    <w:rsid w:val="00632B2A"/>
    <w:rsid w:val="00632CA9"/>
    <w:rsid w:val="00632D00"/>
    <w:rsid w:val="006335B6"/>
    <w:rsid w:val="00633AC7"/>
    <w:rsid w:val="0063447D"/>
    <w:rsid w:val="0063472E"/>
    <w:rsid w:val="00635239"/>
    <w:rsid w:val="00637150"/>
    <w:rsid w:val="0064001D"/>
    <w:rsid w:val="00640E6E"/>
    <w:rsid w:val="0064169E"/>
    <w:rsid w:val="0064174F"/>
    <w:rsid w:val="0064244C"/>
    <w:rsid w:val="00643A49"/>
    <w:rsid w:val="00643C60"/>
    <w:rsid w:val="00643E3D"/>
    <w:rsid w:val="00644312"/>
    <w:rsid w:val="00644EF5"/>
    <w:rsid w:val="006451E4"/>
    <w:rsid w:val="00645995"/>
    <w:rsid w:val="00645CA6"/>
    <w:rsid w:val="00646AFF"/>
    <w:rsid w:val="00650800"/>
    <w:rsid w:val="00651D04"/>
    <w:rsid w:val="006523D9"/>
    <w:rsid w:val="00652BF9"/>
    <w:rsid w:val="006535AC"/>
    <w:rsid w:val="00653FDE"/>
    <w:rsid w:val="00654B2F"/>
    <w:rsid w:val="00654C93"/>
    <w:rsid w:val="0065694F"/>
    <w:rsid w:val="00656ACF"/>
    <w:rsid w:val="00656F20"/>
    <w:rsid w:val="006577C3"/>
    <w:rsid w:val="0066066B"/>
    <w:rsid w:val="00661BDD"/>
    <w:rsid w:val="00661C35"/>
    <w:rsid w:val="006625FB"/>
    <w:rsid w:val="006626B5"/>
    <w:rsid w:val="00663484"/>
    <w:rsid w:val="006655F4"/>
    <w:rsid w:val="00666643"/>
    <w:rsid w:val="00666CAA"/>
    <w:rsid w:val="00667B4E"/>
    <w:rsid w:val="0067004A"/>
    <w:rsid w:val="0067054D"/>
    <w:rsid w:val="00670BD9"/>
    <w:rsid w:val="00671BB5"/>
    <w:rsid w:val="006733C4"/>
    <w:rsid w:val="006737BC"/>
    <w:rsid w:val="006738EA"/>
    <w:rsid w:val="00673CFF"/>
    <w:rsid w:val="00673FD4"/>
    <w:rsid w:val="006746CE"/>
    <w:rsid w:val="00675056"/>
    <w:rsid w:val="00675913"/>
    <w:rsid w:val="0067604E"/>
    <w:rsid w:val="00677C80"/>
    <w:rsid w:val="00677FEF"/>
    <w:rsid w:val="00680010"/>
    <w:rsid w:val="00680CA3"/>
    <w:rsid w:val="00680F79"/>
    <w:rsid w:val="00681348"/>
    <w:rsid w:val="00681E94"/>
    <w:rsid w:val="006834B2"/>
    <w:rsid w:val="006837CE"/>
    <w:rsid w:val="00684B05"/>
    <w:rsid w:val="00685457"/>
    <w:rsid w:val="006869B9"/>
    <w:rsid w:val="00686EE3"/>
    <w:rsid w:val="00686F40"/>
    <w:rsid w:val="006870D6"/>
    <w:rsid w:val="006907B5"/>
    <w:rsid w:val="00690B01"/>
    <w:rsid w:val="00691CBD"/>
    <w:rsid w:val="00693397"/>
    <w:rsid w:val="006935CA"/>
    <w:rsid w:val="00693D6B"/>
    <w:rsid w:val="00694067"/>
    <w:rsid w:val="00694C41"/>
    <w:rsid w:val="006951E4"/>
    <w:rsid w:val="00696D3F"/>
    <w:rsid w:val="00696D88"/>
    <w:rsid w:val="0069763E"/>
    <w:rsid w:val="006977DA"/>
    <w:rsid w:val="00697A98"/>
    <w:rsid w:val="006A04A4"/>
    <w:rsid w:val="006A0DFF"/>
    <w:rsid w:val="006A2CB9"/>
    <w:rsid w:val="006A2F50"/>
    <w:rsid w:val="006A4325"/>
    <w:rsid w:val="006A5240"/>
    <w:rsid w:val="006A6097"/>
    <w:rsid w:val="006A665A"/>
    <w:rsid w:val="006A6855"/>
    <w:rsid w:val="006A7DBD"/>
    <w:rsid w:val="006A7EFE"/>
    <w:rsid w:val="006B0026"/>
    <w:rsid w:val="006B0398"/>
    <w:rsid w:val="006B214C"/>
    <w:rsid w:val="006B226B"/>
    <w:rsid w:val="006B2661"/>
    <w:rsid w:val="006B2670"/>
    <w:rsid w:val="006B2BAE"/>
    <w:rsid w:val="006B35BD"/>
    <w:rsid w:val="006B3940"/>
    <w:rsid w:val="006B4F86"/>
    <w:rsid w:val="006B4F8F"/>
    <w:rsid w:val="006B61CC"/>
    <w:rsid w:val="006B7C20"/>
    <w:rsid w:val="006B7FC2"/>
    <w:rsid w:val="006C0494"/>
    <w:rsid w:val="006C06A1"/>
    <w:rsid w:val="006C0732"/>
    <w:rsid w:val="006C14AE"/>
    <w:rsid w:val="006C1973"/>
    <w:rsid w:val="006C20AE"/>
    <w:rsid w:val="006C30B4"/>
    <w:rsid w:val="006C47F3"/>
    <w:rsid w:val="006C65DF"/>
    <w:rsid w:val="006C67A6"/>
    <w:rsid w:val="006C6832"/>
    <w:rsid w:val="006C6C2D"/>
    <w:rsid w:val="006C7651"/>
    <w:rsid w:val="006D016F"/>
    <w:rsid w:val="006D023D"/>
    <w:rsid w:val="006D1CB4"/>
    <w:rsid w:val="006D4154"/>
    <w:rsid w:val="006D4856"/>
    <w:rsid w:val="006D4BF6"/>
    <w:rsid w:val="006D5675"/>
    <w:rsid w:val="006D5B61"/>
    <w:rsid w:val="006D5CFC"/>
    <w:rsid w:val="006D6754"/>
    <w:rsid w:val="006D7376"/>
    <w:rsid w:val="006E03BC"/>
    <w:rsid w:val="006E067D"/>
    <w:rsid w:val="006E10F4"/>
    <w:rsid w:val="006E1E9C"/>
    <w:rsid w:val="006E251E"/>
    <w:rsid w:val="006E2E78"/>
    <w:rsid w:val="006E3933"/>
    <w:rsid w:val="006E3D4D"/>
    <w:rsid w:val="006E3F87"/>
    <w:rsid w:val="006E5162"/>
    <w:rsid w:val="006E57F4"/>
    <w:rsid w:val="006F0CCA"/>
    <w:rsid w:val="006F1332"/>
    <w:rsid w:val="006F13F2"/>
    <w:rsid w:val="006F20C1"/>
    <w:rsid w:val="006F3CCE"/>
    <w:rsid w:val="006F56E3"/>
    <w:rsid w:val="006F5825"/>
    <w:rsid w:val="006F5C9B"/>
    <w:rsid w:val="006F5F05"/>
    <w:rsid w:val="006F6169"/>
    <w:rsid w:val="006F78E1"/>
    <w:rsid w:val="0070032B"/>
    <w:rsid w:val="0070047B"/>
    <w:rsid w:val="007005DB"/>
    <w:rsid w:val="00702F3F"/>
    <w:rsid w:val="00703D0A"/>
    <w:rsid w:val="00704397"/>
    <w:rsid w:val="007046D9"/>
    <w:rsid w:val="007061B7"/>
    <w:rsid w:val="00707231"/>
    <w:rsid w:val="0070736F"/>
    <w:rsid w:val="0071193D"/>
    <w:rsid w:val="0071318E"/>
    <w:rsid w:val="00713601"/>
    <w:rsid w:val="007147D2"/>
    <w:rsid w:val="007147E2"/>
    <w:rsid w:val="0071536D"/>
    <w:rsid w:val="0071575A"/>
    <w:rsid w:val="00715BF2"/>
    <w:rsid w:val="00716819"/>
    <w:rsid w:val="00716842"/>
    <w:rsid w:val="00716E22"/>
    <w:rsid w:val="00717BC8"/>
    <w:rsid w:val="00720270"/>
    <w:rsid w:val="00720685"/>
    <w:rsid w:val="007208EE"/>
    <w:rsid w:val="00720ECB"/>
    <w:rsid w:val="007216B2"/>
    <w:rsid w:val="00725258"/>
    <w:rsid w:val="00725C86"/>
    <w:rsid w:val="00725CAC"/>
    <w:rsid w:val="00725F2B"/>
    <w:rsid w:val="007264E3"/>
    <w:rsid w:val="007269AF"/>
    <w:rsid w:val="007315AD"/>
    <w:rsid w:val="007331F9"/>
    <w:rsid w:val="0073361A"/>
    <w:rsid w:val="00734E6C"/>
    <w:rsid w:val="00734FF6"/>
    <w:rsid w:val="007363EE"/>
    <w:rsid w:val="00736B36"/>
    <w:rsid w:val="00737708"/>
    <w:rsid w:val="00740084"/>
    <w:rsid w:val="007400BC"/>
    <w:rsid w:val="007407B4"/>
    <w:rsid w:val="00740F3E"/>
    <w:rsid w:val="00741401"/>
    <w:rsid w:val="00742498"/>
    <w:rsid w:val="007432A7"/>
    <w:rsid w:val="00743569"/>
    <w:rsid w:val="0074370A"/>
    <w:rsid w:val="007451B6"/>
    <w:rsid w:val="00745733"/>
    <w:rsid w:val="00745FFA"/>
    <w:rsid w:val="007471A7"/>
    <w:rsid w:val="007478A0"/>
    <w:rsid w:val="007502D8"/>
    <w:rsid w:val="0075077F"/>
    <w:rsid w:val="007517F3"/>
    <w:rsid w:val="00752144"/>
    <w:rsid w:val="00752564"/>
    <w:rsid w:val="00752F57"/>
    <w:rsid w:val="0075385C"/>
    <w:rsid w:val="00754024"/>
    <w:rsid w:val="0075630E"/>
    <w:rsid w:val="00756891"/>
    <w:rsid w:val="007569DE"/>
    <w:rsid w:val="00760825"/>
    <w:rsid w:val="007613CC"/>
    <w:rsid w:val="00761656"/>
    <w:rsid w:val="007631F5"/>
    <w:rsid w:val="00763528"/>
    <w:rsid w:val="00763637"/>
    <w:rsid w:val="00763AAA"/>
    <w:rsid w:val="0076425B"/>
    <w:rsid w:val="007642A9"/>
    <w:rsid w:val="007645B8"/>
    <w:rsid w:val="00765391"/>
    <w:rsid w:val="007657EA"/>
    <w:rsid w:val="00770887"/>
    <w:rsid w:val="007747F2"/>
    <w:rsid w:val="00775420"/>
    <w:rsid w:val="00775C6C"/>
    <w:rsid w:val="00776E7B"/>
    <w:rsid w:val="00777A1A"/>
    <w:rsid w:val="00777DFC"/>
    <w:rsid w:val="00777F19"/>
    <w:rsid w:val="00781500"/>
    <w:rsid w:val="0078257F"/>
    <w:rsid w:val="00784B54"/>
    <w:rsid w:val="00784D8D"/>
    <w:rsid w:val="00786245"/>
    <w:rsid w:val="00786955"/>
    <w:rsid w:val="007911C3"/>
    <w:rsid w:val="00791431"/>
    <w:rsid w:val="00791956"/>
    <w:rsid w:val="007924E3"/>
    <w:rsid w:val="00792C1A"/>
    <w:rsid w:val="00794E6C"/>
    <w:rsid w:val="00795236"/>
    <w:rsid w:val="007955DE"/>
    <w:rsid w:val="00795C1C"/>
    <w:rsid w:val="00795C50"/>
    <w:rsid w:val="0079606F"/>
    <w:rsid w:val="0079777C"/>
    <w:rsid w:val="00797E68"/>
    <w:rsid w:val="007A1E0D"/>
    <w:rsid w:val="007A2C13"/>
    <w:rsid w:val="007A2D12"/>
    <w:rsid w:val="007A303B"/>
    <w:rsid w:val="007A39B9"/>
    <w:rsid w:val="007A4374"/>
    <w:rsid w:val="007A4A82"/>
    <w:rsid w:val="007A4DBD"/>
    <w:rsid w:val="007A6803"/>
    <w:rsid w:val="007A6F6C"/>
    <w:rsid w:val="007A7805"/>
    <w:rsid w:val="007A7B9C"/>
    <w:rsid w:val="007B055B"/>
    <w:rsid w:val="007B0CD2"/>
    <w:rsid w:val="007B1506"/>
    <w:rsid w:val="007B2307"/>
    <w:rsid w:val="007B5EE6"/>
    <w:rsid w:val="007B71E0"/>
    <w:rsid w:val="007C08C9"/>
    <w:rsid w:val="007C1186"/>
    <w:rsid w:val="007C16F7"/>
    <w:rsid w:val="007C2096"/>
    <w:rsid w:val="007C286C"/>
    <w:rsid w:val="007C2F64"/>
    <w:rsid w:val="007C2F9F"/>
    <w:rsid w:val="007C2FD5"/>
    <w:rsid w:val="007C317C"/>
    <w:rsid w:val="007C3ECF"/>
    <w:rsid w:val="007C3FA4"/>
    <w:rsid w:val="007C4AC8"/>
    <w:rsid w:val="007C50DF"/>
    <w:rsid w:val="007C5F79"/>
    <w:rsid w:val="007C6528"/>
    <w:rsid w:val="007C6ED0"/>
    <w:rsid w:val="007C75C7"/>
    <w:rsid w:val="007C7630"/>
    <w:rsid w:val="007C7B96"/>
    <w:rsid w:val="007C7D14"/>
    <w:rsid w:val="007D139E"/>
    <w:rsid w:val="007D1DE4"/>
    <w:rsid w:val="007D2CE8"/>
    <w:rsid w:val="007D2DC2"/>
    <w:rsid w:val="007D3480"/>
    <w:rsid w:val="007D3571"/>
    <w:rsid w:val="007D3E02"/>
    <w:rsid w:val="007D553E"/>
    <w:rsid w:val="007D5E66"/>
    <w:rsid w:val="007D71E6"/>
    <w:rsid w:val="007E0F54"/>
    <w:rsid w:val="007E107C"/>
    <w:rsid w:val="007E1911"/>
    <w:rsid w:val="007E1995"/>
    <w:rsid w:val="007E2982"/>
    <w:rsid w:val="007E3770"/>
    <w:rsid w:val="007E3933"/>
    <w:rsid w:val="007E3A92"/>
    <w:rsid w:val="007E3C10"/>
    <w:rsid w:val="007E4456"/>
    <w:rsid w:val="007E61D2"/>
    <w:rsid w:val="007E6876"/>
    <w:rsid w:val="007E7C64"/>
    <w:rsid w:val="007F04C8"/>
    <w:rsid w:val="007F0637"/>
    <w:rsid w:val="007F08F4"/>
    <w:rsid w:val="007F0B08"/>
    <w:rsid w:val="007F1268"/>
    <w:rsid w:val="007F3238"/>
    <w:rsid w:val="007F4FAF"/>
    <w:rsid w:val="007F4FFE"/>
    <w:rsid w:val="007F5426"/>
    <w:rsid w:val="007F566B"/>
    <w:rsid w:val="007F64F3"/>
    <w:rsid w:val="008004D4"/>
    <w:rsid w:val="00801046"/>
    <w:rsid w:val="00801DA3"/>
    <w:rsid w:val="00801E6C"/>
    <w:rsid w:val="00802330"/>
    <w:rsid w:val="008029EC"/>
    <w:rsid w:val="00802DCF"/>
    <w:rsid w:val="00803904"/>
    <w:rsid w:val="00803C09"/>
    <w:rsid w:val="00804E3C"/>
    <w:rsid w:val="00806F29"/>
    <w:rsid w:val="008075B4"/>
    <w:rsid w:val="008108ED"/>
    <w:rsid w:val="00810DAA"/>
    <w:rsid w:val="00811E07"/>
    <w:rsid w:val="00812425"/>
    <w:rsid w:val="00812780"/>
    <w:rsid w:val="00812A9A"/>
    <w:rsid w:val="00812C86"/>
    <w:rsid w:val="00812EBC"/>
    <w:rsid w:val="008133A4"/>
    <w:rsid w:val="008133FB"/>
    <w:rsid w:val="0081461C"/>
    <w:rsid w:val="00815112"/>
    <w:rsid w:val="0081561C"/>
    <w:rsid w:val="00815761"/>
    <w:rsid w:val="00815A30"/>
    <w:rsid w:val="00815AB9"/>
    <w:rsid w:val="00815C87"/>
    <w:rsid w:val="008178D1"/>
    <w:rsid w:val="00821806"/>
    <w:rsid w:val="0082273B"/>
    <w:rsid w:val="00823197"/>
    <w:rsid w:val="00823808"/>
    <w:rsid w:val="00823C05"/>
    <w:rsid w:val="00823E0D"/>
    <w:rsid w:val="008278F9"/>
    <w:rsid w:val="00827A38"/>
    <w:rsid w:val="00831A35"/>
    <w:rsid w:val="00831EFA"/>
    <w:rsid w:val="00832FBA"/>
    <w:rsid w:val="00835802"/>
    <w:rsid w:val="00835CA5"/>
    <w:rsid w:val="00835F23"/>
    <w:rsid w:val="0083641B"/>
    <w:rsid w:val="00836436"/>
    <w:rsid w:val="00840299"/>
    <w:rsid w:val="00840A66"/>
    <w:rsid w:val="008410E8"/>
    <w:rsid w:val="00841834"/>
    <w:rsid w:val="00841D93"/>
    <w:rsid w:val="008421FE"/>
    <w:rsid w:val="00842C3F"/>
    <w:rsid w:val="00843DF4"/>
    <w:rsid w:val="00843EE3"/>
    <w:rsid w:val="00844A37"/>
    <w:rsid w:val="008459E0"/>
    <w:rsid w:val="0084674B"/>
    <w:rsid w:val="0084681C"/>
    <w:rsid w:val="00846EBA"/>
    <w:rsid w:val="008501F3"/>
    <w:rsid w:val="008516AA"/>
    <w:rsid w:val="0085243F"/>
    <w:rsid w:val="008524DE"/>
    <w:rsid w:val="008525A7"/>
    <w:rsid w:val="00852959"/>
    <w:rsid w:val="00852A60"/>
    <w:rsid w:val="00852CBD"/>
    <w:rsid w:val="00853AB1"/>
    <w:rsid w:val="00853FA9"/>
    <w:rsid w:val="00854264"/>
    <w:rsid w:val="00854E29"/>
    <w:rsid w:val="00854E62"/>
    <w:rsid w:val="00855DDB"/>
    <w:rsid w:val="00857423"/>
    <w:rsid w:val="00860145"/>
    <w:rsid w:val="00861295"/>
    <w:rsid w:val="00861860"/>
    <w:rsid w:val="00861EF3"/>
    <w:rsid w:val="008625F3"/>
    <w:rsid w:val="00863260"/>
    <w:rsid w:val="00864430"/>
    <w:rsid w:val="00864773"/>
    <w:rsid w:val="00864F0A"/>
    <w:rsid w:val="0086530E"/>
    <w:rsid w:val="00865B8D"/>
    <w:rsid w:val="008677C9"/>
    <w:rsid w:val="00870C97"/>
    <w:rsid w:val="00871329"/>
    <w:rsid w:val="00871333"/>
    <w:rsid w:val="00871FC9"/>
    <w:rsid w:val="00872B68"/>
    <w:rsid w:val="00873B58"/>
    <w:rsid w:val="00873D1F"/>
    <w:rsid w:val="00874D07"/>
    <w:rsid w:val="00874FB7"/>
    <w:rsid w:val="00875339"/>
    <w:rsid w:val="00875353"/>
    <w:rsid w:val="00875AB6"/>
    <w:rsid w:val="00876945"/>
    <w:rsid w:val="00876A39"/>
    <w:rsid w:val="00876D8B"/>
    <w:rsid w:val="00876FA8"/>
    <w:rsid w:val="00877370"/>
    <w:rsid w:val="00880A6D"/>
    <w:rsid w:val="008810ED"/>
    <w:rsid w:val="008817A9"/>
    <w:rsid w:val="00881900"/>
    <w:rsid w:val="008819A9"/>
    <w:rsid w:val="0088264C"/>
    <w:rsid w:val="008827C7"/>
    <w:rsid w:val="00882A0E"/>
    <w:rsid w:val="00883406"/>
    <w:rsid w:val="00883576"/>
    <w:rsid w:val="008836EF"/>
    <w:rsid w:val="00884F64"/>
    <w:rsid w:val="00886BA9"/>
    <w:rsid w:val="008870B4"/>
    <w:rsid w:val="0089071C"/>
    <w:rsid w:val="008911B5"/>
    <w:rsid w:val="0089166D"/>
    <w:rsid w:val="008923E6"/>
    <w:rsid w:val="00892705"/>
    <w:rsid w:val="00892EAE"/>
    <w:rsid w:val="00893CB5"/>
    <w:rsid w:val="008944ED"/>
    <w:rsid w:val="008949DA"/>
    <w:rsid w:val="00894C1B"/>
    <w:rsid w:val="00894CCC"/>
    <w:rsid w:val="0089516C"/>
    <w:rsid w:val="008952AF"/>
    <w:rsid w:val="008A0CA5"/>
    <w:rsid w:val="008A16C4"/>
    <w:rsid w:val="008A290C"/>
    <w:rsid w:val="008A3707"/>
    <w:rsid w:val="008A3C21"/>
    <w:rsid w:val="008A412B"/>
    <w:rsid w:val="008A4B3A"/>
    <w:rsid w:val="008A4BA8"/>
    <w:rsid w:val="008A53AC"/>
    <w:rsid w:val="008A6059"/>
    <w:rsid w:val="008A6627"/>
    <w:rsid w:val="008A681C"/>
    <w:rsid w:val="008A7CD9"/>
    <w:rsid w:val="008B00C0"/>
    <w:rsid w:val="008B0ADF"/>
    <w:rsid w:val="008B250A"/>
    <w:rsid w:val="008B2A84"/>
    <w:rsid w:val="008B2DCE"/>
    <w:rsid w:val="008B45EF"/>
    <w:rsid w:val="008B4F55"/>
    <w:rsid w:val="008B5DFF"/>
    <w:rsid w:val="008B6014"/>
    <w:rsid w:val="008B764C"/>
    <w:rsid w:val="008B7FB9"/>
    <w:rsid w:val="008C01AE"/>
    <w:rsid w:val="008C0887"/>
    <w:rsid w:val="008C0C74"/>
    <w:rsid w:val="008C0EB7"/>
    <w:rsid w:val="008C1025"/>
    <w:rsid w:val="008C19FE"/>
    <w:rsid w:val="008C1F17"/>
    <w:rsid w:val="008C22AB"/>
    <w:rsid w:val="008C2675"/>
    <w:rsid w:val="008C2B15"/>
    <w:rsid w:val="008C33C8"/>
    <w:rsid w:val="008C3A3D"/>
    <w:rsid w:val="008C49A3"/>
    <w:rsid w:val="008C564F"/>
    <w:rsid w:val="008C612A"/>
    <w:rsid w:val="008C655C"/>
    <w:rsid w:val="008C7982"/>
    <w:rsid w:val="008C7D46"/>
    <w:rsid w:val="008D07A9"/>
    <w:rsid w:val="008D177B"/>
    <w:rsid w:val="008D1A1C"/>
    <w:rsid w:val="008D23F6"/>
    <w:rsid w:val="008D2675"/>
    <w:rsid w:val="008D2729"/>
    <w:rsid w:val="008D44D9"/>
    <w:rsid w:val="008D49D1"/>
    <w:rsid w:val="008D49D5"/>
    <w:rsid w:val="008D4BEC"/>
    <w:rsid w:val="008D4F4B"/>
    <w:rsid w:val="008D596B"/>
    <w:rsid w:val="008D5FA3"/>
    <w:rsid w:val="008D6260"/>
    <w:rsid w:val="008D6419"/>
    <w:rsid w:val="008D6718"/>
    <w:rsid w:val="008D6A74"/>
    <w:rsid w:val="008D74DB"/>
    <w:rsid w:val="008D754A"/>
    <w:rsid w:val="008D765E"/>
    <w:rsid w:val="008D7CAB"/>
    <w:rsid w:val="008E0057"/>
    <w:rsid w:val="008E1591"/>
    <w:rsid w:val="008E1E7B"/>
    <w:rsid w:val="008E1F99"/>
    <w:rsid w:val="008E282D"/>
    <w:rsid w:val="008E2D94"/>
    <w:rsid w:val="008E3267"/>
    <w:rsid w:val="008E3307"/>
    <w:rsid w:val="008E3E38"/>
    <w:rsid w:val="008E440E"/>
    <w:rsid w:val="008E4AD4"/>
    <w:rsid w:val="008E5144"/>
    <w:rsid w:val="008E5635"/>
    <w:rsid w:val="008E5CCE"/>
    <w:rsid w:val="008E5FFC"/>
    <w:rsid w:val="008E61BF"/>
    <w:rsid w:val="008E7D6D"/>
    <w:rsid w:val="008F0818"/>
    <w:rsid w:val="008F13C0"/>
    <w:rsid w:val="008F187A"/>
    <w:rsid w:val="008F1DB8"/>
    <w:rsid w:val="008F474C"/>
    <w:rsid w:val="008F4C64"/>
    <w:rsid w:val="008F511D"/>
    <w:rsid w:val="008F5A4E"/>
    <w:rsid w:val="008F5F89"/>
    <w:rsid w:val="008F620D"/>
    <w:rsid w:val="008F68FF"/>
    <w:rsid w:val="008F7688"/>
    <w:rsid w:val="00900B5F"/>
    <w:rsid w:val="00900CDA"/>
    <w:rsid w:val="00900FEC"/>
    <w:rsid w:val="009018C1"/>
    <w:rsid w:val="00902429"/>
    <w:rsid w:val="0090332D"/>
    <w:rsid w:val="00903814"/>
    <w:rsid w:val="00904BE0"/>
    <w:rsid w:val="0090589F"/>
    <w:rsid w:val="00905B57"/>
    <w:rsid w:val="00906BFE"/>
    <w:rsid w:val="0090758F"/>
    <w:rsid w:val="0090793B"/>
    <w:rsid w:val="00907D9E"/>
    <w:rsid w:val="009105D5"/>
    <w:rsid w:val="00910F5C"/>
    <w:rsid w:val="00910F6D"/>
    <w:rsid w:val="0091106F"/>
    <w:rsid w:val="00912448"/>
    <w:rsid w:val="009128B8"/>
    <w:rsid w:val="00912A8C"/>
    <w:rsid w:val="009135D8"/>
    <w:rsid w:val="00913EFC"/>
    <w:rsid w:val="00914CD8"/>
    <w:rsid w:val="00915193"/>
    <w:rsid w:val="0091558D"/>
    <w:rsid w:val="00915874"/>
    <w:rsid w:val="009168B9"/>
    <w:rsid w:val="00916FF7"/>
    <w:rsid w:val="009178F4"/>
    <w:rsid w:val="00920787"/>
    <w:rsid w:val="009216EE"/>
    <w:rsid w:val="0092357D"/>
    <w:rsid w:val="00924472"/>
    <w:rsid w:val="0092457C"/>
    <w:rsid w:val="009246FF"/>
    <w:rsid w:val="00925118"/>
    <w:rsid w:val="00925439"/>
    <w:rsid w:val="00926674"/>
    <w:rsid w:val="0092772B"/>
    <w:rsid w:val="00927FAC"/>
    <w:rsid w:val="00927FD0"/>
    <w:rsid w:val="00930775"/>
    <w:rsid w:val="0093134A"/>
    <w:rsid w:val="009321A1"/>
    <w:rsid w:val="00932720"/>
    <w:rsid w:val="00932C99"/>
    <w:rsid w:val="009344B1"/>
    <w:rsid w:val="00935AA2"/>
    <w:rsid w:val="0093627D"/>
    <w:rsid w:val="00936498"/>
    <w:rsid w:val="0094182F"/>
    <w:rsid w:val="00942363"/>
    <w:rsid w:val="009423F0"/>
    <w:rsid w:val="00942EF2"/>
    <w:rsid w:val="00943345"/>
    <w:rsid w:val="009447A4"/>
    <w:rsid w:val="009461F4"/>
    <w:rsid w:val="00946F4A"/>
    <w:rsid w:val="00947321"/>
    <w:rsid w:val="00947A8F"/>
    <w:rsid w:val="00950FCC"/>
    <w:rsid w:val="0095196B"/>
    <w:rsid w:val="0095201A"/>
    <w:rsid w:val="009533C0"/>
    <w:rsid w:val="00954774"/>
    <w:rsid w:val="00954D71"/>
    <w:rsid w:val="009553DF"/>
    <w:rsid w:val="009555FC"/>
    <w:rsid w:val="00956AE7"/>
    <w:rsid w:val="00957FF8"/>
    <w:rsid w:val="0096072C"/>
    <w:rsid w:val="0096081F"/>
    <w:rsid w:val="009608F6"/>
    <w:rsid w:val="00961575"/>
    <w:rsid w:val="00961787"/>
    <w:rsid w:val="00961ACB"/>
    <w:rsid w:val="00962326"/>
    <w:rsid w:val="00962D51"/>
    <w:rsid w:val="009630CE"/>
    <w:rsid w:val="00963F89"/>
    <w:rsid w:val="00964468"/>
    <w:rsid w:val="00966A16"/>
    <w:rsid w:val="00966DD1"/>
    <w:rsid w:val="00967178"/>
    <w:rsid w:val="009701F0"/>
    <w:rsid w:val="00972B13"/>
    <w:rsid w:val="00972BFC"/>
    <w:rsid w:val="00973238"/>
    <w:rsid w:val="009732EF"/>
    <w:rsid w:val="009734A9"/>
    <w:rsid w:val="00973D0A"/>
    <w:rsid w:val="0097472E"/>
    <w:rsid w:val="00974D16"/>
    <w:rsid w:val="009750D7"/>
    <w:rsid w:val="00975932"/>
    <w:rsid w:val="00976A64"/>
    <w:rsid w:val="00977DBC"/>
    <w:rsid w:val="00981153"/>
    <w:rsid w:val="009815E9"/>
    <w:rsid w:val="00982261"/>
    <w:rsid w:val="00982DF8"/>
    <w:rsid w:val="00982FE8"/>
    <w:rsid w:val="0098380D"/>
    <w:rsid w:val="0098403F"/>
    <w:rsid w:val="009855BE"/>
    <w:rsid w:val="00985667"/>
    <w:rsid w:val="00985F7D"/>
    <w:rsid w:val="0098644D"/>
    <w:rsid w:val="009875AB"/>
    <w:rsid w:val="00987913"/>
    <w:rsid w:val="00987F1E"/>
    <w:rsid w:val="009904B1"/>
    <w:rsid w:val="00990843"/>
    <w:rsid w:val="00991C59"/>
    <w:rsid w:val="009927D8"/>
    <w:rsid w:val="00992BFD"/>
    <w:rsid w:val="00992C88"/>
    <w:rsid w:val="00993455"/>
    <w:rsid w:val="00993828"/>
    <w:rsid w:val="00993B12"/>
    <w:rsid w:val="00993D03"/>
    <w:rsid w:val="0099596D"/>
    <w:rsid w:val="009969A4"/>
    <w:rsid w:val="00996CE9"/>
    <w:rsid w:val="00997683"/>
    <w:rsid w:val="009A09CD"/>
    <w:rsid w:val="009A129A"/>
    <w:rsid w:val="009A2B39"/>
    <w:rsid w:val="009A3527"/>
    <w:rsid w:val="009A3B4C"/>
    <w:rsid w:val="009A4370"/>
    <w:rsid w:val="009A4DC9"/>
    <w:rsid w:val="009A587E"/>
    <w:rsid w:val="009A6D8D"/>
    <w:rsid w:val="009A6EBE"/>
    <w:rsid w:val="009A6F56"/>
    <w:rsid w:val="009A73F0"/>
    <w:rsid w:val="009B00E1"/>
    <w:rsid w:val="009B1503"/>
    <w:rsid w:val="009B186C"/>
    <w:rsid w:val="009B37BF"/>
    <w:rsid w:val="009B3DBC"/>
    <w:rsid w:val="009B477A"/>
    <w:rsid w:val="009B4828"/>
    <w:rsid w:val="009B4F89"/>
    <w:rsid w:val="009B6F99"/>
    <w:rsid w:val="009B74D0"/>
    <w:rsid w:val="009B7740"/>
    <w:rsid w:val="009B7F39"/>
    <w:rsid w:val="009C140C"/>
    <w:rsid w:val="009C20DA"/>
    <w:rsid w:val="009C21AE"/>
    <w:rsid w:val="009C262D"/>
    <w:rsid w:val="009C3240"/>
    <w:rsid w:val="009C3FD3"/>
    <w:rsid w:val="009C3FEA"/>
    <w:rsid w:val="009C4277"/>
    <w:rsid w:val="009C43A4"/>
    <w:rsid w:val="009C463E"/>
    <w:rsid w:val="009C4F41"/>
    <w:rsid w:val="009C6CDA"/>
    <w:rsid w:val="009C7B66"/>
    <w:rsid w:val="009D0163"/>
    <w:rsid w:val="009D025C"/>
    <w:rsid w:val="009D2E83"/>
    <w:rsid w:val="009D3190"/>
    <w:rsid w:val="009D3F49"/>
    <w:rsid w:val="009D4333"/>
    <w:rsid w:val="009D4702"/>
    <w:rsid w:val="009E06E7"/>
    <w:rsid w:val="009E0EFF"/>
    <w:rsid w:val="009E16AE"/>
    <w:rsid w:val="009E205A"/>
    <w:rsid w:val="009E3853"/>
    <w:rsid w:val="009E3B13"/>
    <w:rsid w:val="009E4113"/>
    <w:rsid w:val="009E4C96"/>
    <w:rsid w:val="009E5359"/>
    <w:rsid w:val="009E7122"/>
    <w:rsid w:val="009E71A7"/>
    <w:rsid w:val="009E7D61"/>
    <w:rsid w:val="009F026E"/>
    <w:rsid w:val="009F06EB"/>
    <w:rsid w:val="009F075F"/>
    <w:rsid w:val="009F2447"/>
    <w:rsid w:val="009F27A1"/>
    <w:rsid w:val="009F46B4"/>
    <w:rsid w:val="009F78C8"/>
    <w:rsid w:val="00A0033B"/>
    <w:rsid w:val="00A0072E"/>
    <w:rsid w:val="00A024F3"/>
    <w:rsid w:val="00A02BE3"/>
    <w:rsid w:val="00A04B48"/>
    <w:rsid w:val="00A04F69"/>
    <w:rsid w:val="00A05028"/>
    <w:rsid w:val="00A06AD8"/>
    <w:rsid w:val="00A073CD"/>
    <w:rsid w:val="00A07E79"/>
    <w:rsid w:val="00A1010C"/>
    <w:rsid w:val="00A11120"/>
    <w:rsid w:val="00A11FBC"/>
    <w:rsid w:val="00A154E9"/>
    <w:rsid w:val="00A157BD"/>
    <w:rsid w:val="00A15BEB"/>
    <w:rsid w:val="00A16026"/>
    <w:rsid w:val="00A16DDC"/>
    <w:rsid w:val="00A170D1"/>
    <w:rsid w:val="00A17503"/>
    <w:rsid w:val="00A176B0"/>
    <w:rsid w:val="00A2031A"/>
    <w:rsid w:val="00A20495"/>
    <w:rsid w:val="00A209BB"/>
    <w:rsid w:val="00A21458"/>
    <w:rsid w:val="00A21508"/>
    <w:rsid w:val="00A21C92"/>
    <w:rsid w:val="00A2251D"/>
    <w:rsid w:val="00A231B8"/>
    <w:rsid w:val="00A24948"/>
    <w:rsid w:val="00A258EC"/>
    <w:rsid w:val="00A26004"/>
    <w:rsid w:val="00A265DC"/>
    <w:rsid w:val="00A27FB1"/>
    <w:rsid w:val="00A27FB7"/>
    <w:rsid w:val="00A3076A"/>
    <w:rsid w:val="00A31613"/>
    <w:rsid w:val="00A31A1A"/>
    <w:rsid w:val="00A3259B"/>
    <w:rsid w:val="00A33295"/>
    <w:rsid w:val="00A3389F"/>
    <w:rsid w:val="00A33E20"/>
    <w:rsid w:val="00A34E52"/>
    <w:rsid w:val="00A35291"/>
    <w:rsid w:val="00A3655F"/>
    <w:rsid w:val="00A36631"/>
    <w:rsid w:val="00A36982"/>
    <w:rsid w:val="00A37AAA"/>
    <w:rsid w:val="00A40268"/>
    <w:rsid w:val="00A403A2"/>
    <w:rsid w:val="00A42798"/>
    <w:rsid w:val="00A43757"/>
    <w:rsid w:val="00A440FC"/>
    <w:rsid w:val="00A44C5C"/>
    <w:rsid w:val="00A44E3E"/>
    <w:rsid w:val="00A45F7D"/>
    <w:rsid w:val="00A469D0"/>
    <w:rsid w:val="00A47FC8"/>
    <w:rsid w:val="00A50641"/>
    <w:rsid w:val="00A50FCB"/>
    <w:rsid w:val="00A5278E"/>
    <w:rsid w:val="00A52A06"/>
    <w:rsid w:val="00A54951"/>
    <w:rsid w:val="00A55718"/>
    <w:rsid w:val="00A55897"/>
    <w:rsid w:val="00A55D8B"/>
    <w:rsid w:val="00A55DF8"/>
    <w:rsid w:val="00A55F61"/>
    <w:rsid w:val="00A57184"/>
    <w:rsid w:val="00A57B2A"/>
    <w:rsid w:val="00A57B73"/>
    <w:rsid w:val="00A6033A"/>
    <w:rsid w:val="00A603E7"/>
    <w:rsid w:val="00A60D1D"/>
    <w:rsid w:val="00A61E79"/>
    <w:rsid w:val="00A621C2"/>
    <w:rsid w:val="00A629D3"/>
    <w:rsid w:val="00A643FC"/>
    <w:rsid w:val="00A64420"/>
    <w:rsid w:val="00A6480C"/>
    <w:rsid w:val="00A64B5A"/>
    <w:rsid w:val="00A656D3"/>
    <w:rsid w:val="00A6641F"/>
    <w:rsid w:val="00A66772"/>
    <w:rsid w:val="00A66E8E"/>
    <w:rsid w:val="00A67456"/>
    <w:rsid w:val="00A67908"/>
    <w:rsid w:val="00A67DEE"/>
    <w:rsid w:val="00A708AC"/>
    <w:rsid w:val="00A710DC"/>
    <w:rsid w:val="00A72685"/>
    <w:rsid w:val="00A726CD"/>
    <w:rsid w:val="00A7272C"/>
    <w:rsid w:val="00A73E89"/>
    <w:rsid w:val="00A75305"/>
    <w:rsid w:val="00A75B6A"/>
    <w:rsid w:val="00A766D9"/>
    <w:rsid w:val="00A7731D"/>
    <w:rsid w:val="00A77A00"/>
    <w:rsid w:val="00A77E30"/>
    <w:rsid w:val="00A806C3"/>
    <w:rsid w:val="00A808A4"/>
    <w:rsid w:val="00A81CB2"/>
    <w:rsid w:val="00A81FC8"/>
    <w:rsid w:val="00A822C0"/>
    <w:rsid w:val="00A82F49"/>
    <w:rsid w:val="00A837D0"/>
    <w:rsid w:val="00A849B3"/>
    <w:rsid w:val="00A85420"/>
    <w:rsid w:val="00A85F67"/>
    <w:rsid w:val="00A867F1"/>
    <w:rsid w:val="00A86CF2"/>
    <w:rsid w:val="00A901D7"/>
    <w:rsid w:val="00A90B54"/>
    <w:rsid w:val="00A90DFF"/>
    <w:rsid w:val="00A921F4"/>
    <w:rsid w:val="00A9236C"/>
    <w:rsid w:val="00A9246F"/>
    <w:rsid w:val="00A9278C"/>
    <w:rsid w:val="00A93672"/>
    <w:rsid w:val="00A944D7"/>
    <w:rsid w:val="00A956AB"/>
    <w:rsid w:val="00A956D2"/>
    <w:rsid w:val="00A95732"/>
    <w:rsid w:val="00A96B9B"/>
    <w:rsid w:val="00A96D7C"/>
    <w:rsid w:val="00A96D81"/>
    <w:rsid w:val="00A97B02"/>
    <w:rsid w:val="00AA1C44"/>
    <w:rsid w:val="00AA1CD0"/>
    <w:rsid w:val="00AA1E8C"/>
    <w:rsid w:val="00AA1EB9"/>
    <w:rsid w:val="00AA2416"/>
    <w:rsid w:val="00AA3857"/>
    <w:rsid w:val="00AA3F4E"/>
    <w:rsid w:val="00AA5AC8"/>
    <w:rsid w:val="00AA6260"/>
    <w:rsid w:val="00AB0098"/>
    <w:rsid w:val="00AB0815"/>
    <w:rsid w:val="00AB1470"/>
    <w:rsid w:val="00AB2232"/>
    <w:rsid w:val="00AB4654"/>
    <w:rsid w:val="00AB60F7"/>
    <w:rsid w:val="00AB68BA"/>
    <w:rsid w:val="00AB6CF6"/>
    <w:rsid w:val="00AB6FFE"/>
    <w:rsid w:val="00AC6970"/>
    <w:rsid w:val="00AC78D9"/>
    <w:rsid w:val="00AD0A37"/>
    <w:rsid w:val="00AD142C"/>
    <w:rsid w:val="00AD1983"/>
    <w:rsid w:val="00AD1AAD"/>
    <w:rsid w:val="00AD2517"/>
    <w:rsid w:val="00AD4D48"/>
    <w:rsid w:val="00AD4F8F"/>
    <w:rsid w:val="00AD5949"/>
    <w:rsid w:val="00AD6D38"/>
    <w:rsid w:val="00AD6E9C"/>
    <w:rsid w:val="00AD7A2F"/>
    <w:rsid w:val="00AD7A99"/>
    <w:rsid w:val="00AE20A6"/>
    <w:rsid w:val="00AE3DF3"/>
    <w:rsid w:val="00AE40FE"/>
    <w:rsid w:val="00AE4BED"/>
    <w:rsid w:val="00AE6043"/>
    <w:rsid w:val="00AE6E12"/>
    <w:rsid w:val="00AE7659"/>
    <w:rsid w:val="00AF0CFF"/>
    <w:rsid w:val="00AF14BB"/>
    <w:rsid w:val="00AF1D81"/>
    <w:rsid w:val="00AF1E3E"/>
    <w:rsid w:val="00AF2A4A"/>
    <w:rsid w:val="00AF34AC"/>
    <w:rsid w:val="00AF44A2"/>
    <w:rsid w:val="00AF4784"/>
    <w:rsid w:val="00AF5F9E"/>
    <w:rsid w:val="00AF66E8"/>
    <w:rsid w:val="00B00FC8"/>
    <w:rsid w:val="00B01877"/>
    <w:rsid w:val="00B060F5"/>
    <w:rsid w:val="00B06799"/>
    <w:rsid w:val="00B06BE5"/>
    <w:rsid w:val="00B11554"/>
    <w:rsid w:val="00B11605"/>
    <w:rsid w:val="00B11F2F"/>
    <w:rsid w:val="00B12645"/>
    <w:rsid w:val="00B1295B"/>
    <w:rsid w:val="00B12DCE"/>
    <w:rsid w:val="00B12E87"/>
    <w:rsid w:val="00B1405B"/>
    <w:rsid w:val="00B1412F"/>
    <w:rsid w:val="00B14967"/>
    <w:rsid w:val="00B1648E"/>
    <w:rsid w:val="00B165EE"/>
    <w:rsid w:val="00B17C47"/>
    <w:rsid w:val="00B20518"/>
    <w:rsid w:val="00B21A0B"/>
    <w:rsid w:val="00B21EF1"/>
    <w:rsid w:val="00B21F62"/>
    <w:rsid w:val="00B24204"/>
    <w:rsid w:val="00B24940"/>
    <w:rsid w:val="00B24F1C"/>
    <w:rsid w:val="00B25638"/>
    <w:rsid w:val="00B2573D"/>
    <w:rsid w:val="00B26AB5"/>
    <w:rsid w:val="00B276FD"/>
    <w:rsid w:val="00B277B4"/>
    <w:rsid w:val="00B27A8D"/>
    <w:rsid w:val="00B30BDA"/>
    <w:rsid w:val="00B30EFB"/>
    <w:rsid w:val="00B31629"/>
    <w:rsid w:val="00B34482"/>
    <w:rsid w:val="00B35F33"/>
    <w:rsid w:val="00B367D7"/>
    <w:rsid w:val="00B36A1A"/>
    <w:rsid w:val="00B37271"/>
    <w:rsid w:val="00B40604"/>
    <w:rsid w:val="00B4084A"/>
    <w:rsid w:val="00B4159E"/>
    <w:rsid w:val="00B41918"/>
    <w:rsid w:val="00B41F89"/>
    <w:rsid w:val="00B423CA"/>
    <w:rsid w:val="00B42485"/>
    <w:rsid w:val="00B4249D"/>
    <w:rsid w:val="00B4257E"/>
    <w:rsid w:val="00B429A0"/>
    <w:rsid w:val="00B42FB8"/>
    <w:rsid w:val="00B43610"/>
    <w:rsid w:val="00B44C47"/>
    <w:rsid w:val="00B4550B"/>
    <w:rsid w:val="00B459BC"/>
    <w:rsid w:val="00B46055"/>
    <w:rsid w:val="00B46A87"/>
    <w:rsid w:val="00B47657"/>
    <w:rsid w:val="00B50534"/>
    <w:rsid w:val="00B50C7D"/>
    <w:rsid w:val="00B50F64"/>
    <w:rsid w:val="00B51457"/>
    <w:rsid w:val="00B51468"/>
    <w:rsid w:val="00B51B35"/>
    <w:rsid w:val="00B51E77"/>
    <w:rsid w:val="00B5242F"/>
    <w:rsid w:val="00B5261E"/>
    <w:rsid w:val="00B5295B"/>
    <w:rsid w:val="00B53A0E"/>
    <w:rsid w:val="00B5448D"/>
    <w:rsid w:val="00B54E6E"/>
    <w:rsid w:val="00B5609E"/>
    <w:rsid w:val="00B56223"/>
    <w:rsid w:val="00B57130"/>
    <w:rsid w:val="00B5764F"/>
    <w:rsid w:val="00B5768A"/>
    <w:rsid w:val="00B57A92"/>
    <w:rsid w:val="00B621E5"/>
    <w:rsid w:val="00B62732"/>
    <w:rsid w:val="00B637D8"/>
    <w:rsid w:val="00B646B3"/>
    <w:rsid w:val="00B64C45"/>
    <w:rsid w:val="00B6514A"/>
    <w:rsid w:val="00B6546F"/>
    <w:rsid w:val="00B66E57"/>
    <w:rsid w:val="00B708CE"/>
    <w:rsid w:val="00B73222"/>
    <w:rsid w:val="00B73D8A"/>
    <w:rsid w:val="00B73E38"/>
    <w:rsid w:val="00B7408B"/>
    <w:rsid w:val="00B745E7"/>
    <w:rsid w:val="00B74A0F"/>
    <w:rsid w:val="00B754DA"/>
    <w:rsid w:val="00B764D5"/>
    <w:rsid w:val="00B76E2C"/>
    <w:rsid w:val="00B77194"/>
    <w:rsid w:val="00B82D08"/>
    <w:rsid w:val="00B82F98"/>
    <w:rsid w:val="00B8369A"/>
    <w:rsid w:val="00B83F80"/>
    <w:rsid w:val="00B84582"/>
    <w:rsid w:val="00B84EDA"/>
    <w:rsid w:val="00B84F3A"/>
    <w:rsid w:val="00B85462"/>
    <w:rsid w:val="00B876DB"/>
    <w:rsid w:val="00B90379"/>
    <w:rsid w:val="00B90D5F"/>
    <w:rsid w:val="00B92388"/>
    <w:rsid w:val="00B9260D"/>
    <w:rsid w:val="00B92950"/>
    <w:rsid w:val="00B938EC"/>
    <w:rsid w:val="00B94ACF"/>
    <w:rsid w:val="00B94DDD"/>
    <w:rsid w:val="00B95991"/>
    <w:rsid w:val="00B960F4"/>
    <w:rsid w:val="00BA05C7"/>
    <w:rsid w:val="00BA0DE3"/>
    <w:rsid w:val="00BA14F9"/>
    <w:rsid w:val="00BA204D"/>
    <w:rsid w:val="00BA26AA"/>
    <w:rsid w:val="00BA2B5C"/>
    <w:rsid w:val="00BA33DF"/>
    <w:rsid w:val="00BA3D8C"/>
    <w:rsid w:val="00BA41C5"/>
    <w:rsid w:val="00BA44B1"/>
    <w:rsid w:val="00BA4CA9"/>
    <w:rsid w:val="00BA5068"/>
    <w:rsid w:val="00BA6B42"/>
    <w:rsid w:val="00BA7689"/>
    <w:rsid w:val="00BA7F07"/>
    <w:rsid w:val="00BB2AB6"/>
    <w:rsid w:val="00BB2E1F"/>
    <w:rsid w:val="00BB2F46"/>
    <w:rsid w:val="00BB3F12"/>
    <w:rsid w:val="00BB4116"/>
    <w:rsid w:val="00BB461F"/>
    <w:rsid w:val="00BB6924"/>
    <w:rsid w:val="00BB6CAE"/>
    <w:rsid w:val="00BB7BE1"/>
    <w:rsid w:val="00BC07A2"/>
    <w:rsid w:val="00BC0D16"/>
    <w:rsid w:val="00BC20B2"/>
    <w:rsid w:val="00BC2838"/>
    <w:rsid w:val="00BC3427"/>
    <w:rsid w:val="00BC408C"/>
    <w:rsid w:val="00BC4CEC"/>
    <w:rsid w:val="00BC5466"/>
    <w:rsid w:val="00BD0411"/>
    <w:rsid w:val="00BD2D60"/>
    <w:rsid w:val="00BD4A2F"/>
    <w:rsid w:val="00BD5079"/>
    <w:rsid w:val="00BD5954"/>
    <w:rsid w:val="00BD64EC"/>
    <w:rsid w:val="00BD6508"/>
    <w:rsid w:val="00BD6959"/>
    <w:rsid w:val="00BD7101"/>
    <w:rsid w:val="00BE1892"/>
    <w:rsid w:val="00BE27F3"/>
    <w:rsid w:val="00BE4F91"/>
    <w:rsid w:val="00BE5826"/>
    <w:rsid w:val="00BE5CCD"/>
    <w:rsid w:val="00BE5E35"/>
    <w:rsid w:val="00BE7443"/>
    <w:rsid w:val="00BF09D4"/>
    <w:rsid w:val="00BF1C8B"/>
    <w:rsid w:val="00BF279A"/>
    <w:rsid w:val="00BF32CE"/>
    <w:rsid w:val="00BF374D"/>
    <w:rsid w:val="00BF396F"/>
    <w:rsid w:val="00BF428B"/>
    <w:rsid w:val="00BF4363"/>
    <w:rsid w:val="00BF48D4"/>
    <w:rsid w:val="00BF5100"/>
    <w:rsid w:val="00BF52F4"/>
    <w:rsid w:val="00BF5522"/>
    <w:rsid w:val="00BF612D"/>
    <w:rsid w:val="00BF6158"/>
    <w:rsid w:val="00BF6504"/>
    <w:rsid w:val="00BF6680"/>
    <w:rsid w:val="00BF7DA6"/>
    <w:rsid w:val="00C0097E"/>
    <w:rsid w:val="00C00F01"/>
    <w:rsid w:val="00C015E2"/>
    <w:rsid w:val="00C017AF"/>
    <w:rsid w:val="00C01D5C"/>
    <w:rsid w:val="00C0290C"/>
    <w:rsid w:val="00C02BA2"/>
    <w:rsid w:val="00C03181"/>
    <w:rsid w:val="00C03577"/>
    <w:rsid w:val="00C0410C"/>
    <w:rsid w:val="00C0420E"/>
    <w:rsid w:val="00C053A1"/>
    <w:rsid w:val="00C05665"/>
    <w:rsid w:val="00C065CD"/>
    <w:rsid w:val="00C06A57"/>
    <w:rsid w:val="00C07143"/>
    <w:rsid w:val="00C07B4A"/>
    <w:rsid w:val="00C10FEF"/>
    <w:rsid w:val="00C11BCE"/>
    <w:rsid w:val="00C12B90"/>
    <w:rsid w:val="00C12BD9"/>
    <w:rsid w:val="00C13F0D"/>
    <w:rsid w:val="00C144E8"/>
    <w:rsid w:val="00C14BCC"/>
    <w:rsid w:val="00C16AA3"/>
    <w:rsid w:val="00C202F9"/>
    <w:rsid w:val="00C208B8"/>
    <w:rsid w:val="00C20E3E"/>
    <w:rsid w:val="00C21ADF"/>
    <w:rsid w:val="00C22140"/>
    <w:rsid w:val="00C22E6A"/>
    <w:rsid w:val="00C2357C"/>
    <w:rsid w:val="00C23EFA"/>
    <w:rsid w:val="00C25055"/>
    <w:rsid w:val="00C26CA7"/>
    <w:rsid w:val="00C2722C"/>
    <w:rsid w:val="00C2740E"/>
    <w:rsid w:val="00C314E3"/>
    <w:rsid w:val="00C32001"/>
    <w:rsid w:val="00C3225F"/>
    <w:rsid w:val="00C328B9"/>
    <w:rsid w:val="00C32E10"/>
    <w:rsid w:val="00C33C63"/>
    <w:rsid w:val="00C34580"/>
    <w:rsid w:val="00C35425"/>
    <w:rsid w:val="00C359D4"/>
    <w:rsid w:val="00C35E72"/>
    <w:rsid w:val="00C36155"/>
    <w:rsid w:val="00C3638C"/>
    <w:rsid w:val="00C36D35"/>
    <w:rsid w:val="00C373C4"/>
    <w:rsid w:val="00C37C53"/>
    <w:rsid w:val="00C37DF4"/>
    <w:rsid w:val="00C40379"/>
    <w:rsid w:val="00C41E1B"/>
    <w:rsid w:val="00C41F69"/>
    <w:rsid w:val="00C44D99"/>
    <w:rsid w:val="00C4542E"/>
    <w:rsid w:val="00C457A7"/>
    <w:rsid w:val="00C46508"/>
    <w:rsid w:val="00C476CD"/>
    <w:rsid w:val="00C47B40"/>
    <w:rsid w:val="00C47B9F"/>
    <w:rsid w:val="00C5008E"/>
    <w:rsid w:val="00C50151"/>
    <w:rsid w:val="00C50953"/>
    <w:rsid w:val="00C5146D"/>
    <w:rsid w:val="00C54888"/>
    <w:rsid w:val="00C54972"/>
    <w:rsid w:val="00C55365"/>
    <w:rsid w:val="00C556D9"/>
    <w:rsid w:val="00C55937"/>
    <w:rsid w:val="00C56214"/>
    <w:rsid w:val="00C56714"/>
    <w:rsid w:val="00C56F11"/>
    <w:rsid w:val="00C5772D"/>
    <w:rsid w:val="00C602A6"/>
    <w:rsid w:val="00C6079F"/>
    <w:rsid w:val="00C6344A"/>
    <w:rsid w:val="00C63869"/>
    <w:rsid w:val="00C63ED4"/>
    <w:rsid w:val="00C6406B"/>
    <w:rsid w:val="00C6610E"/>
    <w:rsid w:val="00C663EA"/>
    <w:rsid w:val="00C67A16"/>
    <w:rsid w:val="00C67CFC"/>
    <w:rsid w:val="00C71889"/>
    <w:rsid w:val="00C72563"/>
    <w:rsid w:val="00C728C2"/>
    <w:rsid w:val="00C72923"/>
    <w:rsid w:val="00C72AEB"/>
    <w:rsid w:val="00C72BAC"/>
    <w:rsid w:val="00C73313"/>
    <w:rsid w:val="00C73A87"/>
    <w:rsid w:val="00C73E67"/>
    <w:rsid w:val="00C741E2"/>
    <w:rsid w:val="00C761AC"/>
    <w:rsid w:val="00C761EA"/>
    <w:rsid w:val="00C7678E"/>
    <w:rsid w:val="00C77353"/>
    <w:rsid w:val="00C779B9"/>
    <w:rsid w:val="00C801F5"/>
    <w:rsid w:val="00C812D7"/>
    <w:rsid w:val="00C81757"/>
    <w:rsid w:val="00C81D48"/>
    <w:rsid w:val="00C825B1"/>
    <w:rsid w:val="00C82F0A"/>
    <w:rsid w:val="00C83015"/>
    <w:rsid w:val="00C847DC"/>
    <w:rsid w:val="00C87006"/>
    <w:rsid w:val="00C8740D"/>
    <w:rsid w:val="00C90114"/>
    <w:rsid w:val="00C9099A"/>
    <w:rsid w:val="00C90D60"/>
    <w:rsid w:val="00C92208"/>
    <w:rsid w:val="00C935B8"/>
    <w:rsid w:val="00C9385E"/>
    <w:rsid w:val="00C94562"/>
    <w:rsid w:val="00C94D9A"/>
    <w:rsid w:val="00C9519D"/>
    <w:rsid w:val="00C95A7C"/>
    <w:rsid w:val="00C95D90"/>
    <w:rsid w:val="00C95EDB"/>
    <w:rsid w:val="00C9663D"/>
    <w:rsid w:val="00C96A72"/>
    <w:rsid w:val="00C96DCE"/>
    <w:rsid w:val="00C972DE"/>
    <w:rsid w:val="00CA1331"/>
    <w:rsid w:val="00CA16F2"/>
    <w:rsid w:val="00CA2397"/>
    <w:rsid w:val="00CA34DE"/>
    <w:rsid w:val="00CA3C18"/>
    <w:rsid w:val="00CA4656"/>
    <w:rsid w:val="00CA4F9D"/>
    <w:rsid w:val="00CA5747"/>
    <w:rsid w:val="00CA5909"/>
    <w:rsid w:val="00CA5C80"/>
    <w:rsid w:val="00CA6194"/>
    <w:rsid w:val="00CA672C"/>
    <w:rsid w:val="00CA6D3C"/>
    <w:rsid w:val="00CA6DD6"/>
    <w:rsid w:val="00CB115E"/>
    <w:rsid w:val="00CB2C8C"/>
    <w:rsid w:val="00CB34E2"/>
    <w:rsid w:val="00CB39F2"/>
    <w:rsid w:val="00CB4100"/>
    <w:rsid w:val="00CB5709"/>
    <w:rsid w:val="00CB6813"/>
    <w:rsid w:val="00CB6D3B"/>
    <w:rsid w:val="00CB7950"/>
    <w:rsid w:val="00CB7CA3"/>
    <w:rsid w:val="00CC06DA"/>
    <w:rsid w:val="00CC0D9A"/>
    <w:rsid w:val="00CC0F5D"/>
    <w:rsid w:val="00CC0F66"/>
    <w:rsid w:val="00CC102B"/>
    <w:rsid w:val="00CC1F04"/>
    <w:rsid w:val="00CC2BC9"/>
    <w:rsid w:val="00CC3434"/>
    <w:rsid w:val="00CC3A61"/>
    <w:rsid w:val="00CC4006"/>
    <w:rsid w:val="00CC6BA7"/>
    <w:rsid w:val="00CC788D"/>
    <w:rsid w:val="00CC79ED"/>
    <w:rsid w:val="00CD0448"/>
    <w:rsid w:val="00CD09E8"/>
    <w:rsid w:val="00CD0C89"/>
    <w:rsid w:val="00CD15B6"/>
    <w:rsid w:val="00CD34D2"/>
    <w:rsid w:val="00CD3787"/>
    <w:rsid w:val="00CD38C0"/>
    <w:rsid w:val="00CD3C57"/>
    <w:rsid w:val="00CD4823"/>
    <w:rsid w:val="00CD5121"/>
    <w:rsid w:val="00CD5E54"/>
    <w:rsid w:val="00CD6A5F"/>
    <w:rsid w:val="00CE019E"/>
    <w:rsid w:val="00CE2A6A"/>
    <w:rsid w:val="00CE3AE7"/>
    <w:rsid w:val="00CE3AFD"/>
    <w:rsid w:val="00CE4AFB"/>
    <w:rsid w:val="00CE58DF"/>
    <w:rsid w:val="00CE66D3"/>
    <w:rsid w:val="00CE6CDC"/>
    <w:rsid w:val="00CF0280"/>
    <w:rsid w:val="00CF06B5"/>
    <w:rsid w:val="00CF07B6"/>
    <w:rsid w:val="00CF0B5B"/>
    <w:rsid w:val="00CF0F63"/>
    <w:rsid w:val="00CF1021"/>
    <w:rsid w:val="00CF2C10"/>
    <w:rsid w:val="00CF2C6A"/>
    <w:rsid w:val="00CF399A"/>
    <w:rsid w:val="00CF3A74"/>
    <w:rsid w:val="00CF44EF"/>
    <w:rsid w:val="00CF4CC2"/>
    <w:rsid w:val="00CF5035"/>
    <w:rsid w:val="00CF7733"/>
    <w:rsid w:val="00D0063D"/>
    <w:rsid w:val="00D01758"/>
    <w:rsid w:val="00D02886"/>
    <w:rsid w:val="00D0317E"/>
    <w:rsid w:val="00D0408F"/>
    <w:rsid w:val="00D04177"/>
    <w:rsid w:val="00D049AE"/>
    <w:rsid w:val="00D05160"/>
    <w:rsid w:val="00D06840"/>
    <w:rsid w:val="00D0718D"/>
    <w:rsid w:val="00D07528"/>
    <w:rsid w:val="00D0752D"/>
    <w:rsid w:val="00D076DA"/>
    <w:rsid w:val="00D07A2F"/>
    <w:rsid w:val="00D07D15"/>
    <w:rsid w:val="00D10CE6"/>
    <w:rsid w:val="00D112ED"/>
    <w:rsid w:val="00D11662"/>
    <w:rsid w:val="00D11D9C"/>
    <w:rsid w:val="00D125C7"/>
    <w:rsid w:val="00D134C6"/>
    <w:rsid w:val="00D13A3B"/>
    <w:rsid w:val="00D159F4"/>
    <w:rsid w:val="00D1637A"/>
    <w:rsid w:val="00D16744"/>
    <w:rsid w:val="00D17F9E"/>
    <w:rsid w:val="00D2023C"/>
    <w:rsid w:val="00D20779"/>
    <w:rsid w:val="00D20D56"/>
    <w:rsid w:val="00D21759"/>
    <w:rsid w:val="00D21A0D"/>
    <w:rsid w:val="00D2205A"/>
    <w:rsid w:val="00D22919"/>
    <w:rsid w:val="00D22943"/>
    <w:rsid w:val="00D22D3E"/>
    <w:rsid w:val="00D25A77"/>
    <w:rsid w:val="00D25E14"/>
    <w:rsid w:val="00D26938"/>
    <w:rsid w:val="00D26A95"/>
    <w:rsid w:val="00D26BE7"/>
    <w:rsid w:val="00D26E4C"/>
    <w:rsid w:val="00D30A2A"/>
    <w:rsid w:val="00D315E4"/>
    <w:rsid w:val="00D32204"/>
    <w:rsid w:val="00D32976"/>
    <w:rsid w:val="00D32A9E"/>
    <w:rsid w:val="00D33090"/>
    <w:rsid w:val="00D334AD"/>
    <w:rsid w:val="00D34A54"/>
    <w:rsid w:val="00D34B9F"/>
    <w:rsid w:val="00D35BF2"/>
    <w:rsid w:val="00D361B4"/>
    <w:rsid w:val="00D36DE6"/>
    <w:rsid w:val="00D4019A"/>
    <w:rsid w:val="00D40835"/>
    <w:rsid w:val="00D40FA2"/>
    <w:rsid w:val="00D423C8"/>
    <w:rsid w:val="00D42C87"/>
    <w:rsid w:val="00D4323D"/>
    <w:rsid w:val="00D45676"/>
    <w:rsid w:val="00D47955"/>
    <w:rsid w:val="00D50992"/>
    <w:rsid w:val="00D5152D"/>
    <w:rsid w:val="00D51F97"/>
    <w:rsid w:val="00D522B9"/>
    <w:rsid w:val="00D53691"/>
    <w:rsid w:val="00D5423C"/>
    <w:rsid w:val="00D54492"/>
    <w:rsid w:val="00D5466A"/>
    <w:rsid w:val="00D54992"/>
    <w:rsid w:val="00D56659"/>
    <w:rsid w:val="00D607E6"/>
    <w:rsid w:val="00D6162C"/>
    <w:rsid w:val="00D61716"/>
    <w:rsid w:val="00D619D1"/>
    <w:rsid w:val="00D629F4"/>
    <w:rsid w:val="00D6329B"/>
    <w:rsid w:val="00D632FC"/>
    <w:rsid w:val="00D639E2"/>
    <w:rsid w:val="00D70507"/>
    <w:rsid w:val="00D70EFE"/>
    <w:rsid w:val="00D71B34"/>
    <w:rsid w:val="00D71FA7"/>
    <w:rsid w:val="00D72045"/>
    <w:rsid w:val="00D7247F"/>
    <w:rsid w:val="00D72B7B"/>
    <w:rsid w:val="00D7357E"/>
    <w:rsid w:val="00D736DE"/>
    <w:rsid w:val="00D74602"/>
    <w:rsid w:val="00D77CC2"/>
    <w:rsid w:val="00D77F1D"/>
    <w:rsid w:val="00D8054E"/>
    <w:rsid w:val="00D809E7"/>
    <w:rsid w:val="00D831E7"/>
    <w:rsid w:val="00D83D2D"/>
    <w:rsid w:val="00D83EEF"/>
    <w:rsid w:val="00D84C1B"/>
    <w:rsid w:val="00D84C46"/>
    <w:rsid w:val="00D8573A"/>
    <w:rsid w:val="00D858B6"/>
    <w:rsid w:val="00D91264"/>
    <w:rsid w:val="00D92400"/>
    <w:rsid w:val="00D93F48"/>
    <w:rsid w:val="00D94657"/>
    <w:rsid w:val="00D94DF6"/>
    <w:rsid w:val="00D953BB"/>
    <w:rsid w:val="00D95E81"/>
    <w:rsid w:val="00D962C0"/>
    <w:rsid w:val="00D97008"/>
    <w:rsid w:val="00D97A09"/>
    <w:rsid w:val="00D97E1F"/>
    <w:rsid w:val="00DA1408"/>
    <w:rsid w:val="00DA14FC"/>
    <w:rsid w:val="00DA15A8"/>
    <w:rsid w:val="00DA17CC"/>
    <w:rsid w:val="00DA1EE8"/>
    <w:rsid w:val="00DA3177"/>
    <w:rsid w:val="00DA3ED7"/>
    <w:rsid w:val="00DA51D4"/>
    <w:rsid w:val="00DA57CA"/>
    <w:rsid w:val="00DA61E7"/>
    <w:rsid w:val="00DA675F"/>
    <w:rsid w:val="00DA6A59"/>
    <w:rsid w:val="00DA729D"/>
    <w:rsid w:val="00DA7591"/>
    <w:rsid w:val="00DA79A0"/>
    <w:rsid w:val="00DA7B24"/>
    <w:rsid w:val="00DA7BC5"/>
    <w:rsid w:val="00DB1C79"/>
    <w:rsid w:val="00DB2BED"/>
    <w:rsid w:val="00DB4806"/>
    <w:rsid w:val="00DB480F"/>
    <w:rsid w:val="00DB4864"/>
    <w:rsid w:val="00DB533F"/>
    <w:rsid w:val="00DB546C"/>
    <w:rsid w:val="00DB5899"/>
    <w:rsid w:val="00DB6B55"/>
    <w:rsid w:val="00DB7D94"/>
    <w:rsid w:val="00DC0073"/>
    <w:rsid w:val="00DC014C"/>
    <w:rsid w:val="00DC03DC"/>
    <w:rsid w:val="00DC0401"/>
    <w:rsid w:val="00DC0759"/>
    <w:rsid w:val="00DC1FAD"/>
    <w:rsid w:val="00DC2625"/>
    <w:rsid w:val="00DC3BE5"/>
    <w:rsid w:val="00DC3E02"/>
    <w:rsid w:val="00DC53E5"/>
    <w:rsid w:val="00DC6B2B"/>
    <w:rsid w:val="00DC6E63"/>
    <w:rsid w:val="00DD042C"/>
    <w:rsid w:val="00DD0B14"/>
    <w:rsid w:val="00DD1876"/>
    <w:rsid w:val="00DD3144"/>
    <w:rsid w:val="00DD3B6E"/>
    <w:rsid w:val="00DD3BF1"/>
    <w:rsid w:val="00DD50BE"/>
    <w:rsid w:val="00DD559D"/>
    <w:rsid w:val="00DD64CE"/>
    <w:rsid w:val="00DD6D4A"/>
    <w:rsid w:val="00DD733A"/>
    <w:rsid w:val="00DE0B59"/>
    <w:rsid w:val="00DE20FF"/>
    <w:rsid w:val="00DE2A5A"/>
    <w:rsid w:val="00DE355C"/>
    <w:rsid w:val="00DE4333"/>
    <w:rsid w:val="00DE6087"/>
    <w:rsid w:val="00DE6E1A"/>
    <w:rsid w:val="00DF02E7"/>
    <w:rsid w:val="00DF0CE1"/>
    <w:rsid w:val="00DF2510"/>
    <w:rsid w:val="00DF347D"/>
    <w:rsid w:val="00DF46CA"/>
    <w:rsid w:val="00DF49A9"/>
    <w:rsid w:val="00DF58D7"/>
    <w:rsid w:val="00DF598C"/>
    <w:rsid w:val="00DF61E9"/>
    <w:rsid w:val="00DF6744"/>
    <w:rsid w:val="00DF6C47"/>
    <w:rsid w:val="00DF7409"/>
    <w:rsid w:val="00DF74B2"/>
    <w:rsid w:val="00E00E92"/>
    <w:rsid w:val="00E0229C"/>
    <w:rsid w:val="00E02F2F"/>
    <w:rsid w:val="00E03562"/>
    <w:rsid w:val="00E03D3F"/>
    <w:rsid w:val="00E0546D"/>
    <w:rsid w:val="00E05670"/>
    <w:rsid w:val="00E07079"/>
    <w:rsid w:val="00E072DD"/>
    <w:rsid w:val="00E07639"/>
    <w:rsid w:val="00E1295E"/>
    <w:rsid w:val="00E14551"/>
    <w:rsid w:val="00E14791"/>
    <w:rsid w:val="00E147A3"/>
    <w:rsid w:val="00E15DC8"/>
    <w:rsid w:val="00E169C5"/>
    <w:rsid w:val="00E1731D"/>
    <w:rsid w:val="00E17AEC"/>
    <w:rsid w:val="00E210F7"/>
    <w:rsid w:val="00E21218"/>
    <w:rsid w:val="00E21567"/>
    <w:rsid w:val="00E223CA"/>
    <w:rsid w:val="00E2268C"/>
    <w:rsid w:val="00E226D2"/>
    <w:rsid w:val="00E22ED3"/>
    <w:rsid w:val="00E244F3"/>
    <w:rsid w:val="00E24533"/>
    <w:rsid w:val="00E246AA"/>
    <w:rsid w:val="00E24AD9"/>
    <w:rsid w:val="00E2590A"/>
    <w:rsid w:val="00E263A6"/>
    <w:rsid w:val="00E26FDF"/>
    <w:rsid w:val="00E27012"/>
    <w:rsid w:val="00E27470"/>
    <w:rsid w:val="00E27CFA"/>
    <w:rsid w:val="00E30265"/>
    <w:rsid w:val="00E30776"/>
    <w:rsid w:val="00E30D12"/>
    <w:rsid w:val="00E30F2D"/>
    <w:rsid w:val="00E3142C"/>
    <w:rsid w:val="00E33449"/>
    <w:rsid w:val="00E341E4"/>
    <w:rsid w:val="00E34682"/>
    <w:rsid w:val="00E35783"/>
    <w:rsid w:val="00E3615E"/>
    <w:rsid w:val="00E40F1E"/>
    <w:rsid w:val="00E415CD"/>
    <w:rsid w:val="00E42469"/>
    <w:rsid w:val="00E42ACE"/>
    <w:rsid w:val="00E42C6B"/>
    <w:rsid w:val="00E4327A"/>
    <w:rsid w:val="00E43738"/>
    <w:rsid w:val="00E43BA2"/>
    <w:rsid w:val="00E447EC"/>
    <w:rsid w:val="00E451B2"/>
    <w:rsid w:val="00E453CF"/>
    <w:rsid w:val="00E455A7"/>
    <w:rsid w:val="00E4789C"/>
    <w:rsid w:val="00E47F0A"/>
    <w:rsid w:val="00E50E3A"/>
    <w:rsid w:val="00E51F6D"/>
    <w:rsid w:val="00E523DB"/>
    <w:rsid w:val="00E5241C"/>
    <w:rsid w:val="00E53558"/>
    <w:rsid w:val="00E53FE6"/>
    <w:rsid w:val="00E54AE5"/>
    <w:rsid w:val="00E54C78"/>
    <w:rsid w:val="00E5587E"/>
    <w:rsid w:val="00E55A9D"/>
    <w:rsid w:val="00E56587"/>
    <w:rsid w:val="00E575F6"/>
    <w:rsid w:val="00E57937"/>
    <w:rsid w:val="00E57E31"/>
    <w:rsid w:val="00E60CB4"/>
    <w:rsid w:val="00E61330"/>
    <w:rsid w:val="00E621B8"/>
    <w:rsid w:val="00E621C6"/>
    <w:rsid w:val="00E6485D"/>
    <w:rsid w:val="00E6591E"/>
    <w:rsid w:val="00E71944"/>
    <w:rsid w:val="00E71A2C"/>
    <w:rsid w:val="00E72544"/>
    <w:rsid w:val="00E73ED9"/>
    <w:rsid w:val="00E7435D"/>
    <w:rsid w:val="00E74376"/>
    <w:rsid w:val="00E75A9F"/>
    <w:rsid w:val="00E771D0"/>
    <w:rsid w:val="00E77626"/>
    <w:rsid w:val="00E77821"/>
    <w:rsid w:val="00E7793F"/>
    <w:rsid w:val="00E77DF4"/>
    <w:rsid w:val="00E80C70"/>
    <w:rsid w:val="00E817DC"/>
    <w:rsid w:val="00E81F93"/>
    <w:rsid w:val="00E821F8"/>
    <w:rsid w:val="00E82FF8"/>
    <w:rsid w:val="00E83316"/>
    <w:rsid w:val="00E83760"/>
    <w:rsid w:val="00E847E9"/>
    <w:rsid w:val="00E84E51"/>
    <w:rsid w:val="00E84F4E"/>
    <w:rsid w:val="00E85244"/>
    <w:rsid w:val="00E86306"/>
    <w:rsid w:val="00E8657C"/>
    <w:rsid w:val="00E86C6C"/>
    <w:rsid w:val="00E87124"/>
    <w:rsid w:val="00E90B98"/>
    <w:rsid w:val="00E91EB4"/>
    <w:rsid w:val="00E9273B"/>
    <w:rsid w:val="00E92783"/>
    <w:rsid w:val="00E9284D"/>
    <w:rsid w:val="00E929A5"/>
    <w:rsid w:val="00E93471"/>
    <w:rsid w:val="00E94159"/>
    <w:rsid w:val="00E946C3"/>
    <w:rsid w:val="00E9550F"/>
    <w:rsid w:val="00E9551A"/>
    <w:rsid w:val="00E95B30"/>
    <w:rsid w:val="00E96A10"/>
    <w:rsid w:val="00E96ECC"/>
    <w:rsid w:val="00E97CE4"/>
    <w:rsid w:val="00E97D0B"/>
    <w:rsid w:val="00EA1CE4"/>
    <w:rsid w:val="00EA28CF"/>
    <w:rsid w:val="00EA3407"/>
    <w:rsid w:val="00EA3B98"/>
    <w:rsid w:val="00EA48DC"/>
    <w:rsid w:val="00EA4E00"/>
    <w:rsid w:val="00EA5226"/>
    <w:rsid w:val="00EA5BAC"/>
    <w:rsid w:val="00EA66F9"/>
    <w:rsid w:val="00EA7B02"/>
    <w:rsid w:val="00EA7E16"/>
    <w:rsid w:val="00EB0177"/>
    <w:rsid w:val="00EB027A"/>
    <w:rsid w:val="00EB0404"/>
    <w:rsid w:val="00EB0784"/>
    <w:rsid w:val="00EB14F9"/>
    <w:rsid w:val="00EB1EB6"/>
    <w:rsid w:val="00EB3CDB"/>
    <w:rsid w:val="00EB421F"/>
    <w:rsid w:val="00EB42E7"/>
    <w:rsid w:val="00EB4CA2"/>
    <w:rsid w:val="00EB4F78"/>
    <w:rsid w:val="00EB5896"/>
    <w:rsid w:val="00EB5987"/>
    <w:rsid w:val="00EB66B7"/>
    <w:rsid w:val="00EB724C"/>
    <w:rsid w:val="00EB754B"/>
    <w:rsid w:val="00EB77F3"/>
    <w:rsid w:val="00EC0D0D"/>
    <w:rsid w:val="00EC103C"/>
    <w:rsid w:val="00EC15DA"/>
    <w:rsid w:val="00EC1625"/>
    <w:rsid w:val="00EC1DAE"/>
    <w:rsid w:val="00EC269B"/>
    <w:rsid w:val="00EC291D"/>
    <w:rsid w:val="00EC34E5"/>
    <w:rsid w:val="00EC4579"/>
    <w:rsid w:val="00EC4C67"/>
    <w:rsid w:val="00EC4EF8"/>
    <w:rsid w:val="00EC589D"/>
    <w:rsid w:val="00EC65C1"/>
    <w:rsid w:val="00EC6B6B"/>
    <w:rsid w:val="00EC6B92"/>
    <w:rsid w:val="00EC7DB2"/>
    <w:rsid w:val="00EC7EA5"/>
    <w:rsid w:val="00ED0365"/>
    <w:rsid w:val="00ED0636"/>
    <w:rsid w:val="00ED083D"/>
    <w:rsid w:val="00ED1665"/>
    <w:rsid w:val="00ED1CBD"/>
    <w:rsid w:val="00ED2111"/>
    <w:rsid w:val="00ED3F3F"/>
    <w:rsid w:val="00ED4BF9"/>
    <w:rsid w:val="00ED58D1"/>
    <w:rsid w:val="00ED6220"/>
    <w:rsid w:val="00ED753E"/>
    <w:rsid w:val="00EE06EC"/>
    <w:rsid w:val="00EE0C9D"/>
    <w:rsid w:val="00EE1725"/>
    <w:rsid w:val="00EE205F"/>
    <w:rsid w:val="00EE3B09"/>
    <w:rsid w:val="00EE3EC7"/>
    <w:rsid w:val="00EE4276"/>
    <w:rsid w:val="00EE560F"/>
    <w:rsid w:val="00EE5EDB"/>
    <w:rsid w:val="00EE6A4E"/>
    <w:rsid w:val="00EE73BA"/>
    <w:rsid w:val="00EE7492"/>
    <w:rsid w:val="00EE7B2E"/>
    <w:rsid w:val="00EF1642"/>
    <w:rsid w:val="00EF1CB8"/>
    <w:rsid w:val="00EF24DE"/>
    <w:rsid w:val="00EF2F15"/>
    <w:rsid w:val="00EF333D"/>
    <w:rsid w:val="00EF4139"/>
    <w:rsid w:val="00EF46FF"/>
    <w:rsid w:val="00EF4FA1"/>
    <w:rsid w:val="00EF5323"/>
    <w:rsid w:val="00EF6710"/>
    <w:rsid w:val="00EF7811"/>
    <w:rsid w:val="00EF7A70"/>
    <w:rsid w:val="00F021BD"/>
    <w:rsid w:val="00F02B37"/>
    <w:rsid w:val="00F02C3D"/>
    <w:rsid w:val="00F02FDB"/>
    <w:rsid w:val="00F0306A"/>
    <w:rsid w:val="00F03BC5"/>
    <w:rsid w:val="00F03EA5"/>
    <w:rsid w:val="00F04AE6"/>
    <w:rsid w:val="00F04EF2"/>
    <w:rsid w:val="00F105DB"/>
    <w:rsid w:val="00F1092B"/>
    <w:rsid w:val="00F10B6F"/>
    <w:rsid w:val="00F110CF"/>
    <w:rsid w:val="00F136CE"/>
    <w:rsid w:val="00F15537"/>
    <w:rsid w:val="00F159CC"/>
    <w:rsid w:val="00F161E0"/>
    <w:rsid w:val="00F16E14"/>
    <w:rsid w:val="00F17A79"/>
    <w:rsid w:val="00F21848"/>
    <w:rsid w:val="00F21C45"/>
    <w:rsid w:val="00F22EB8"/>
    <w:rsid w:val="00F23FBD"/>
    <w:rsid w:val="00F25B82"/>
    <w:rsid w:val="00F27F2A"/>
    <w:rsid w:val="00F3084D"/>
    <w:rsid w:val="00F308C6"/>
    <w:rsid w:val="00F30C01"/>
    <w:rsid w:val="00F30CFF"/>
    <w:rsid w:val="00F31382"/>
    <w:rsid w:val="00F315C1"/>
    <w:rsid w:val="00F31A8C"/>
    <w:rsid w:val="00F31DDF"/>
    <w:rsid w:val="00F31FA0"/>
    <w:rsid w:val="00F32DAB"/>
    <w:rsid w:val="00F3332F"/>
    <w:rsid w:val="00F33C27"/>
    <w:rsid w:val="00F35423"/>
    <w:rsid w:val="00F367B0"/>
    <w:rsid w:val="00F40673"/>
    <w:rsid w:val="00F40747"/>
    <w:rsid w:val="00F40D40"/>
    <w:rsid w:val="00F41D8A"/>
    <w:rsid w:val="00F45621"/>
    <w:rsid w:val="00F456D9"/>
    <w:rsid w:val="00F463A4"/>
    <w:rsid w:val="00F46E69"/>
    <w:rsid w:val="00F47BD9"/>
    <w:rsid w:val="00F5010C"/>
    <w:rsid w:val="00F50327"/>
    <w:rsid w:val="00F506A2"/>
    <w:rsid w:val="00F51082"/>
    <w:rsid w:val="00F517D0"/>
    <w:rsid w:val="00F51858"/>
    <w:rsid w:val="00F52C23"/>
    <w:rsid w:val="00F53846"/>
    <w:rsid w:val="00F538FE"/>
    <w:rsid w:val="00F54A88"/>
    <w:rsid w:val="00F54C52"/>
    <w:rsid w:val="00F54DE7"/>
    <w:rsid w:val="00F571E0"/>
    <w:rsid w:val="00F57F4D"/>
    <w:rsid w:val="00F60819"/>
    <w:rsid w:val="00F60C56"/>
    <w:rsid w:val="00F60D68"/>
    <w:rsid w:val="00F618CC"/>
    <w:rsid w:val="00F62CF1"/>
    <w:rsid w:val="00F658C3"/>
    <w:rsid w:val="00F65EDC"/>
    <w:rsid w:val="00F668F0"/>
    <w:rsid w:val="00F67D8E"/>
    <w:rsid w:val="00F71238"/>
    <w:rsid w:val="00F72426"/>
    <w:rsid w:val="00F72902"/>
    <w:rsid w:val="00F72987"/>
    <w:rsid w:val="00F738D1"/>
    <w:rsid w:val="00F738FC"/>
    <w:rsid w:val="00F745BB"/>
    <w:rsid w:val="00F7490D"/>
    <w:rsid w:val="00F74E01"/>
    <w:rsid w:val="00F75B35"/>
    <w:rsid w:val="00F76661"/>
    <w:rsid w:val="00F76B99"/>
    <w:rsid w:val="00F77052"/>
    <w:rsid w:val="00F770C6"/>
    <w:rsid w:val="00F771F7"/>
    <w:rsid w:val="00F77729"/>
    <w:rsid w:val="00F81EAD"/>
    <w:rsid w:val="00F82797"/>
    <w:rsid w:val="00F85D7E"/>
    <w:rsid w:val="00F85E9C"/>
    <w:rsid w:val="00F86428"/>
    <w:rsid w:val="00F868B1"/>
    <w:rsid w:val="00F86996"/>
    <w:rsid w:val="00F86BE0"/>
    <w:rsid w:val="00F874E3"/>
    <w:rsid w:val="00F90625"/>
    <w:rsid w:val="00F907C3"/>
    <w:rsid w:val="00F90E5A"/>
    <w:rsid w:val="00F9113E"/>
    <w:rsid w:val="00F91A1C"/>
    <w:rsid w:val="00F923C5"/>
    <w:rsid w:val="00F92624"/>
    <w:rsid w:val="00F92796"/>
    <w:rsid w:val="00F929C0"/>
    <w:rsid w:val="00F92AE4"/>
    <w:rsid w:val="00F92F0E"/>
    <w:rsid w:val="00F93CEC"/>
    <w:rsid w:val="00F95277"/>
    <w:rsid w:val="00F9558F"/>
    <w:rsid w:val="00F97EF4"/>
    <w:rsid w:val="00F97F17"/>
    <w:rsid w:val="00FA09FE"/>
    <w:rsid w:val="00FA1267"/>
    <w:rsid w:val="00FA1C49"/>
    <w:rsid w:val="00FA2411"/>
    <w:rsid w:val="00FA2A5E"/>
    <w:rsid w:val="00FA35E2"/>
    <w:rsid w:val="00FA3EE5"/>
    <w:rsid w:val="00FA4157"/>
    <w:rsid w:val="00FA4B42"/>
    <w:rsid w:val="00FA5CF5"/>
    <w:rsid w:val="00FA5D21"/>
    <w:rsid w:val="00FA64B4"/>
    <w:rsid w:val="00FA66B9"/>
    <w:rsid w:val="00FA7723"/>
    <w:rsid w:val="00FA7CC4"/>
    <w:rsid w:val="00FB01DD"/>
    <w:rsid w:val="00FB0C12"/>
    <w:rsid w:val="00FB1770"/>
    <w:rsid w:val="00FB1D81"/>
    <w:rsid w:val="00FB1F56"/>
    <w:rsid w:val="00FB29AB"/>
    <w:rsid w:val="00FB3E7C"/>
    <w:rsid w:val="00FB4A99"/>
    <w:rsid w:val="00FB6897"/>
    <w:rsid w:val="00FC0368"/>
    <w:rsid w:val="00FC1B37"/>
    <w:rsid w:val="00FC202B"/>
    <w:rsid w:val="00FC2122"/>
    <w:rsid w:val="00FC2880"/>
    <w:rsid w:val="00FC2EE0"/>
    <w:rsid w:val="00FC3412"/>
    <w:rsid w:val="00FC4273"/>
    <w:rsid w:val="00FC4EB0"/>
    <w:rsid w:val="00FC6561"/>
    <w:rsid w:val="00FC6E2D"/>
    <w:rsid w:val="00FC7448"/>
    <w:rsid w:val="00FC74DA"/>
    <w:rsid w:val="00FC7E80"/>
    <w:rsid w:val="00FD05A1"/>
    <w:rsid w:val="00FD1416"/>
    <w:rsid w:val="00FD1694"/>
    <w:rsid w:val="00FD1989"/>
    <w:rsid w:val="00FD2B40"/>
    <w:rsid w:val="00FD4AAD"/>
    <w:rsid w:val="00FD5B60"/>
    <w:rsid w:val="00FD629F"/>
    <w:rsid w:val="00FD6EC6"/>
    <w:rsid w:val="00FD7120"/>
    <w:rsid w:val="00FD7ECA"/>
    <w:rsid w:val="00FD7F57"/>
    <w:rsid w:val="00FE2E24"/>
    <w:rsid w:val="00FE42C2"/>
    <w:rsid w:val="00FE508C"/>
    <w:rsid w:val="00FE5955"/>
    <w:rsid w:val="00FE61BB"/>
    <w:rsid w:val="00FF0F59"/>
    <w:rsid w:val="00FF234D"/>
    <w:rsid w:val="00FF2655"/>
    <w:rsid w:val="00FF343B"/>
    <w:rsid w:val="00FF34C4"/>
    <w:rsid w:val="00FF3A6B"/>
    <w:rsid w:val="00FF4284"/>
    <w:rsid w:val="00FF49E4"/>
    <w:rsid w:val="00FF4B9C"/>
    <w:rsid w:val="00FF58F3"/>
    <w:rsid w:val="00FF5E47"/>
    <w:rsid w:val="00FF5E78"/>
    <w:rsid w:val="00FF6AAA"/>
    <w:rsid w:val="00FF6E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8190A"/>
  <w15:chartTrackingRefBased/>
  <w15:docId w15:val="{12C78389-7A70-4E66-B10F-A759CF8C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color w:val="000000"/>
      <w:sz w:val="24"/>
      <w:szCs w:val="24"/>
    </w:rPr>
  </w:style>
  <w:style w:type="paragraph" w:styleId="2">
    <w:name w:val="heading 2"/>
    <w:basedOn w:val="a"/>
    <w:next w:val="a"/>
    <w:link w:val="20"/>
    <w:uiPriority w:val="9"/>
    <w:semiHidden/>
    <w:unhideWhenUsed/>
    <w:qFormat/>
    <w:rsid w:val="00BE58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autoRedefine/>
    <w:uiPriority w:val="99"/>
    <w:qFormat/>
    <w:rsid w:val="00BE5826"/>
    <w:pPr>
      <w:keepLines w:val="0"/>
      <w:widowControl w:val="0"/>
      <w:tabs>
        <w:tab w:val="left" w:pos="567"/>
      </w:tabs>
      <w:spacing w:before="0"/>
      <w:ind w:firstLine="567"/>
      <w:jc w:val="both"/>
      <w:outlineLvl w:val="2"/>
    </w:pPr>
    <w:rPr>
      <w:rFonts w:ascii="Times New Roman" w:hAnsi="Times New Roman" w:cs="Times New Roman"/>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color w:val="auto"/>
    </w:rPr>
  </w:style>
  <w:style w:type="paragraph" w:styleId="a3">
    <w:name w:val="Balloon Text"/>
    <w:basedOn w:val="a"/>
    <w:link w:val="a4"/>
    <w:uiPriority w:val="99"/>
    <w:semiHidden/>
    <w:unhideWhenUsed/>
    <w:rPr>
      <w:rFonts w:ascii="Segoe UI" w:hAnsi="Segoe UI" w:cs="Segoe UI"/>
      <w:sz w:val="18"/>
      <w:szCs w:val="18"/>
    </w:rPr>
  </w:style>
  <w:style w:type="character" w:customStyle="1" w:styleId="a4">
    <w:name w:val="Текст выноски Знак"/>
    <w:basedOn w:val="a0"/>
    <w:link w:val="a3"/>
    <w:uiPriority w:val="99"/>
    <w:semiHidden/>
    <w:rPr>
      <w:rFonts w:ascii="Tahoma" w:hAnsi="Tahoma" w:cs="Tahoma" w:hint="default"/>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5">
    <w:name w:val="Hyperlink"/>
    <w:basedOn w:val="a0"/>
    <w:uiPriority w:val="99"/>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003B0B"/>
    <w:pPr>
      <w:tabs>
        <w:tab w:val="center" w:pos="4677"/>
        <w:tab w:val="right" w:pos="9355"/>
      </w:tabs>
    </w:pPr>
  </w:style>
  <w:style w:type="character" w:customStyle="1" w:styleId="a8">
    <w:name w:val="Верхний колонтитул Знак"/>
    <w:basedOn w:val="a0"/>
    <w:link w:val="a7"/>
    <w:uiPriority w:val="99"/>
    <w:rsid w:val="00003B0B"/>
    <w:rPr>
      <w:rFonts w:eastAsiaTheme="minorEastAsia"/>
      <w:color w:val="000000"/>
      <w:sz w:val="24"/>
      <w:szCs w:val="24"/>
    </w:rPr>
  </w:style>
  <w:style w:type="paragraph" w:styleId="a9">
    <w:name w:val="footer"/>
    <w:basedOn w:val="a"/>
    <w:link w:val="aa"/>
    <w:uiPriority w:val="99"/>
    <w:unhideWhenUsed/>
    <w:rsid w:val="00003B0B"/>
    <w:pPr>
      <w:tabs>
        <w:tab w:val="center" w:pos="4677"/>
        <w:tab w:val="right" w:pos="9355"/>
      </w:tabs>
    </w:pPr>
  </w:style>
  <w:style w:type="character" w:customStyle="1" w:styleId="aa">
    <w:name w:val="Нижний колонтитул Знак"/>
    <w:basedOn w:val="a0"/>
    <w:link w:val="a9"/>
    <w:uiPriority w:val="99"/>
    <w:rsid w:val="00003B0B"/>
    <w:rPr>
      <w:rFonts w:eastAsiaTheme="minorEastAsia"/>
      <w:color w:val="000000"/>
      <w:sz w:val="24"/>
      <w:szCs w:val="24"/>
    </w:rPr>
  </w:style>
  <w:style w:type="character" w:customStyle="1" w:styleId="s0">
    <w:name w:val="s0"/>
    <w:basedOn w:val="a0"/>
    <w:rsid w:val="00DF0CE1"/>
    <w:rPr>
      <w:rFonts w:ascii="Times New Roman" w:hAnsi="Times New Roman" w:cs="Times New Roman" w:hint="default"/>
      <w:b w:val="0"/>
      <w:bCs w:val="0"/>
      <w:i w:val="0"/>
      <w:iCs w:val="0"/>
      <w:color w:val="000000"/>
    </w:rPr>
  </w:style>
  <w:style w:type="paragraph" w:customStyle="1" w:styleId="pj">
    <w:name w:val="pj"/>
    <w:basedOn w:val="a"/>
    <w:rsid w:val="001D24B4"/>
    <w:pPr>
      <w:ind w:firstLine="400"/>
      <w:jc w:val="both"/>
    </w:pPr>
  </w:style>
  <w:style w:type="character" w:styleId="ab">
    <w:name w:val="annotation reference"/>
    <w:basedOn w:val="a0"/>
    <w:uiPriority w:val="99"/>
    <w:semiHidden/>
    <w:unhideWhenUsed/>
    <w:rsid w:val="00626580"/>
    <w:rPr>
      <w:sz w:val="16"/>
      <w:szCs w:val="16"/>
    </w:rPr>
  </w:style>
  <w:style w:type="paragraph" w:styleId="ac">
    <w:name w:val="annotation text"/>
    <w:basedOn w:val="a"/>
    <w:link w:val="ad"/>
    <w:uiPriority w:val="99"/>
    <w:unhideWhenUsed/>
    <w:rsid w:val="00626580"/>
    <w:rPr>
      <w:sz w:val="20"/>
      <w:szCs w:val="20"/>
    </w:rPr>
  </w:style>
  <w:style w:type="character" w:customStyle="1" w:styleId="ad">
    <w:name w:val="Текст примечания Знак"/>
    <w:basedOn w:val="a0"/>
    <w:link w:val="ac"/>
    <w:uiPriority w:val="99"/>
    <w:rsid w:val="00626580"/>
    <w:rPr>
      <w:rFonts w:eastAsiaTheme="minorEastAsia"/>
      <w:color w:val="000000"/>
    </w:rPr>
  </w:style>
  <w:style w:type="paragraph" w:styleId="ae">
    <w:name w:val="annotation subject"/>
    <w:basedOn w:val="ac"/>
    <w:next w:val="ac"/>
    <w:link w:val="af"/>
    <w:uiPriority w:val="99"/>
    <w:semiHidden/>
    <w:unhideWhenUsed/>
    <w:rsid w:val="00626580"/>
    <w:rPr>
      <w:b/>
      <w:bCs/>
    </w:rPr>
  </w:style>
  <w:style w:type="character" w:customStyle="1" w:styleId="af">
    <w:name w:val="Тема примечания Знак"/>
    <w:basedOn w:val="ad"/>
    <w:link w:val="ae"/>
    <w:uiPriority w:val="99"/>
    <w:semiHidden/>
    <w:rsid w:val="00626580"/>
    <w:rPr>
      <w:rFonts w:eastAsiaTheme="minorEastAsia"/>
      <w:b/>
      <w:bCs/>
      <w:color w:val="000000"/>
    </w:rPr>
  </w:style>
  <w:style w:type="paragraph" w:styleId="af0">
    <w:name w:val="Revision"/>
    <w:hidden/>
    <w:uiPriority w:val="99"/>
    <w:semiHidden/>
    <w:rsid w:val="00626580"/>
    <w:rPr>
      <w:rFonts w:eastAsiaTheme="minorEastAsia"/>
      <w:color w:val="000000"/>
      <w:sz w:val="24"/>
      <w:szCs w:val="24"/>
    </w:rPr>
  </w:style>
  <w:style w:type="paragraph" w:styleId="af1">
    <w:name w:val="List Paragraph"/>
    <w:aliases w:val="Абзац,маркированный,Elenco Normale,Абзац с отступом,strich,2nd Tier Header,Абзац списка2,List Paragraph,Heading1,Colorful List - Accent 11,Colorful List - Accent 11CxSpLast,H1-1,AC List 01,Bullet Points,без абзаца,ПАРАГРАФ,Абзац списка1"/>
    <w:basedOn w:val="a"/>
    <w:link w:val="af2"/>
    <w:uiPriority w:val="34"/>
    <w:qFormat/>
    <w:rsid w:val="005F0D8D"/>
    <w:pPr>
      <w:spacing w:after="200" w:line="276" w:lineRule="auto"/>
      <w:ind w:left="720"/>
      <w:contextualSpacing/>
    </w:pPr>
    <w:rPr>
      <w:rFonts w:ascii="Calibri" w:eastAsia="Calibri" w:hAnsi="Calibri"/>
      <w:color w:val="auto"/>
      <w:sz w:val="22"/>
      <w:szCs w:val="22"/>
      <w:lang w:val="kk-KZ" w:eastAsia="en-US"/>
    </w:rPr>
  </w:style>
  <w:style w:type="character" w:customStyle="1" w:styleId="af2">
    <w:name w:val="Абзац списка Знак"/>
    <w:aliases w:val="Абзац Знак,маркированный Знак,Elenco Normale Знак,Абзац с отступом Знак,strich Знак,2nd Tier Header Знак,Абзац списка2 Знак,List Paragraph Знак,Heading1 Знак,Colorful List - Accent 11 Знак,Colorful List - Accent 11CxSpLast Знак"/>
    <w:link w:val="af1"/>
    <w:uiPriority w:val="34"/>
    <w:qFormat/>
    <w:rsid w:val="005F0D8D"/>
    <w:rPr>
      <w:rFonts w:ascii="Calibri" w:eastAsia="Calibri" w:hAnsi="Calibri"/>
      <w:sz w:val="22"/>
      <w:szCs w:val="22"/>
      <w:lang w:val="kk-KZ" w:eastAsia="en-US"/>
    </w:rPr>
  </w:style>
  <w:style w:type="character" w:customStyle="1" w:styleId="21">
    <w:name w:val="Основной текст (2)_"/>
    <w:link w:val="22"/>
    <w:rsid w:val="00812EBC"/>
    <w:rPr>
      <w:sz w:val="26"/>
      <w:szCs w:val="26"/>
      <w:shd w:val="clear" w:color="auto" w:fill="FFFFFF"/>
    </w:rPr>
  </w:style>
  <w:style w:type="paragraph" w:customStyle="1" w:styleId="22">
    <w:name w:val="Основной текст (2)"/>
    <w:basedOn w:val="a"/>
    <w:link w:val="21"/>
    <w:rsid w:val="00812EBC"/>
    <w:pPr>
      <w:widowControl w:val="0"/>
      <w:shd w:val="clear" w:color="auto" w:fill="FFFFFF"/>
      <w:spacing w:before="560" w:line="335" w:lineRule="exact"/>
      <w:ind w:hanging="340"/>
      <w:jc w:val="both"/>
    </w:pPr>
    <w:rPr>
      <w:rFonts w:eastAsia="Times New Roman"/>
      <w:color w:val="auto"/>
      <w:sz w:val="26"/>
      <w:szCs w:val="26"/>
    </w:rPr>
  </w:style>
  <w:style w:type="paragraph" w:customStyle="1" w:styleId="pc">
    <w:name w:val="pc"/>
    <w:basedOn w:val="a"/>
    <w:rsid w:val="00175063"/>
    <w:pPr>
      <w:jc w:val="center"/>
    </w:pPr>
  </w:style>
  <w:style w:type="paragraph" w:styleId="af3">
    <w:name w:val="footnote text"/>
    <w:aliases w:val="Footnote Text Char1,Footnote Text Char Char,Footnote Text Char1 Char Char,Footnote Text Char Char Char Char,Footnote Text Char1 Char Char Char Char,Footnote Text Char Char Char Char Char Char,Char Char Char,Footnote Text Char Char1 Char Ch"/>
    <w:basedOn w:val="a"/>
    <w:link w:val="af4"/>
    <w:uiPriority w:val="99"/>
    <w:unhideWhenUsed/>
    <w:rsid w:val="00E415CD"/>
    <w:rPr>
      <w:rFonts w:ascii="Arial" w:eastAsia="Times New Roman" w:hAnsi="Arial"/>
      <w:color w:val="auto"/>
      <w:sz w:val="20"/>
      <w:szCs w:val="20"/>
    </w:rPr>
  </w:style>
  <w:style w:type="character" w:customStyle="1" w:styleId="af4">
    <w:name w:val="Текст сноски Знак"/>
    <w:aliases w:val="Footnote Text Char1 Знак,Footnote Text Char Char Знак,Footnote Text Char1 Char Char Знак,Footnote Text Char Char Char Char Знак,Footnote Text Char1 Char Char Char Char Знак,Footnote Text Char Char Char Char Char Char Знак"/>
    <w:basedOn w:val="a0"/>
    <w:link w:val="af3"/>
    <w:uiPriority w:val="99"/>
    <w:rsid w:val="00E415CD"/>
    <w:rPr>
      <w:rFonts w:ascii="Arial" w:hAnsi="Arial"/>
    </w:rPr>
  </w:style>
  <w:style w:type="character" w:styleId="af5">
    <w:name w:val="footnote reference"/>
    <w:aliases w:val="fr,Used by Word for Help footnote symbols,Знак сноски 1"/>
    <w:basedOn w:val="a0"/>
    <w:uiPriority w:val="99"/>
    <w:unhideWhenUsed/>
    <w:rsid w:val="00E415CD"/>
    <w:rPr>
      <w:vertAlign w:val="superscript"/>
    </w:rPr>
  </w:style>
  <w:style w:type="paragraph" w:styleId="af6">
    <w:name w:val="Normal (Web)"/>
    <w:basedOn w:val="a"/>
    <w:uiPriority w:val="99"/>
    <w:unhideWhenUsed/>
    <w:rsid w:val="0071318E"/>
    <w:rPr>
      <w:rFonts w:eastAsiaTheme="minorHAnsi"/>
      <w:color w:val="auto"/>
    </w:rPr>
  </w:style>
  <w:style w:type="character" w:styleId="af7">
    <w:name w:val="Strong"/>
    <w:basedOn w:val="a0"/>
    <w:uiPriority w:val="22"/>
    <w:qFormat/>
    <w:rsid w:val="001B084D"/>
    <w:rPr>
      <w:b/>
      <w:bCs/>
    </w:rPr>
  </w:style>
  <w:style w:type="character" w:customStyle="1" w:styleId="s3">
    <w:name w:val="s3"/>
    <w:basedOn w:val="a0"/>
    <w:rsid w:val="00FD2B40"/>
    <w:rPr>
      <w:rFonts w:ascii="Times New Roman" w:hAnsi="Times New Roman" w:cs="Times New Roman" w:hint="default"/>
      <w:b w:val="0"/>
      <w:bCs w:val="0"/>
      <w:i/>
      <w:iCs/>
      <w:color w:val="FF0000"/>
    </w:rPr>
  </w:style>
  <w:style w:type="character" w:customStyle="1" w:styleId="af8">
    <w:name w:val="a"/>
    <w:rsid w:val="00ED753E"/>
    <w:rPr>
      <w:color w:val="333399"/>
      <w:u w:val="single"/>
    </w:rPr>
  </w:style>
  <w:style w:type="paragraph" w:customStyle="1" w:styleId="p">
    <w:name w:val="p"/>
    <w:basedOn w:val="a"/>
    <w:rsid w:val="00B51E77"/>
  </w:style>
  <w:style w:type="character" w:customStyle="1" w:styleId="30">
    <w:name w:val="Заголовок 3 Знак"/>
    <w:basedOn w:val="a0"/>
    <w:link w:val="3"/>
    <w:uiPriority w:val="99"/>
    <w:rsid w:val="00BE5826"/>
    <w:rPr>
      <w:rFonts w:eastAsiaTheme="majorEastAsia"/>
      <w:sz w:val="24"/>
      <w:szCs w:val="24"/>
      <w:lang w:eastAsia="en-US"/>
    </w:rPr>
  </w:style>
  <w:style w:type="character" w:customStyle="1" w:styleId="20">
    <w:name w:val="Заголовок 2 Знак"/>
    <w:basedOn w:val="a0"/>
    <w:link w:val="2"/>
    <w:uiPriority w:val="9"/>
    <w:semiHidden/>
    <w:rsid w:val="00BE5826"/>
    <w:rPr>
      <w:rFonts w:asciiTheme="majorHAnsi" w:eastAsiaTheme="majorEastAsia" w:hAnsiTheme="majorHAnsi" w:cstheme="majorBidi"/>
      <w:color w:val="2E74B5" w:themeColor="accent1" w:themeShade="BF"/>
      <w:sz w:val="26"/>
      <w:szCs w:val="26"/>
    </w:rPr>
  </w:style>
  <w:style w:type="paragraph" w:styleId="af9">
    <w:name w:val="Body Text Indent"/>
    <w:basedOn w:val="a"/>
    <w:link w:val="afa"/>
    <w:rsid w:val="00207F3F"/>
    <w:pPr>
      <w:spacing w:after="120" w:line="300" w:lineRule="auto"/>
      <w:ind w:firstLine="567"/>
      <w:jc w:val="both"/>
    </w:pPr>
    <w:rPr>
      <w:rFonts w:ascii="Arial" w:eastAsia="Times New Roman" w:hAnsi="Arial"/>
      <w:color w:val="auto"/>
      <w:sz w:val="22"/>
      <w:szCs w:val="20"/>
    </w:rPr>
  </w:style>
  <w:style w:type="character" w:customStyle="1" w:styleId="afa">
    <w:name w:val="Основной текст с отступом Знак"/>
    <w:basedOn w:val="a0"/>
    <w:link w:val="af9"/>
    <w:rsid w:val="00207F3F"/>
    <w:rPr>
      <w:rFonts w:ascii="Arial" w:hAnsi="Arial"/>
      <w:sz w:val="22"/>
    </w:rPr>
  </w:style>
  <w:style w:type="table" w:styleId="afb">
    <w:name w:val="Grid Table Light"/>
    <w:basedOn w:val="a1"/>
    <w:uiPriority w:val="40"/>
    <w:rsid w:val="00207F3F"/>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c">
    <w:name w:val="Table Grid"/>
    <w:basedOn w:val="a1"/>
    <w:uiPriority w:val="39"/>
    <w:rsid w:val="00417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417583"/>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
    <w:name w:val="pr"/>
    <w:basedOn w:val="a"/>
    <w:rsid w:val="001B1E48"/>
    <w:pPr>
      <w:spacing w:before="100" w:beforeAutospacing="1" w:after="100" w:afterAutospacing="1"/>
    </w:pPr>
    <w:rPr>
      <w:rFonts w:eastAsiaTheme="minorHAnsi"/>
      <w:color w:val="auto"/>
    </w:rPr>
  </w:style>
  <w:style w:type="paragraph" w:customStyle="1" w:styleId="pji">
    <w:name w:val="pji"/>
    <w:basedOn w:val="a"/>
    <w:uiPriority w:val="99"/>
    <w:rsid w:val="00412007"/>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447">
      <w:bodyDiv w:val="1"/>
      <w:marLeft w:val="0"/>
      <w:marRight w:val="0"/>
      <w:marTop w:val="0"/>
      <w:marBottom w:val="0"/>
      <w:divBdr>
        <w:top w:val="none" w:sz="0" w:space="0" w:color="auto"/>
        <w:left w:val="none" w:sz="0" w:space="0" w:color="auto"/>
        <w:bottom w:val="none" w:sz="0" w:space="0" w:color="auto"/>
        <w:right w:val="none" w:sz="0" w:space="0" w:color="auto"/>
      </w:divBdr>
    </w:div>
    <w:div w:id="46417092">
      <w:bodyDiv w:val="1"/>
      <w:marLeft w:val="0"/>
      <w:marRight w:val="0"/>
      <w:marTop w:val="0"/>
      <w:marBottom w:val="0"/>
      <w:divBdr>
        <w:top w:val="none" w:sz="0" w:space="0" w:color="auto"/>
        <w:left w:val="none" w:sz="0" w:space="0" w:color="auto"/>
        <w:bottom w:val="none" w:sz="0" w:space="0" w:color="auto"/>
        <w:right w:val="none" w:sz="0" w:space="0" w:color="auto"/>
      </w:divBdr>
    </w:div>
    <w:div w:id="106896804">
      <w:bodyDiv w:val="1"/>
      <w:marLeft w:val="0"/>
      <w:marRight w:val="0"/>
      <w:marTop w:val="0"/>
      <w:marBottom w:val="0"/>
      <w:divBdr>
        <w:top w:val="none" w:sz="0" w:space="0" w:color="auto"/>
        <w:left w:val="none" w:sz="0" w:space="0" w:color="auto"/>
        <w:bottom w:val="none" w:sz="0" w:space="0" w:color="auto"/>
        <w:right w:val="none" w:sz="0" w:space="0" w:color="auto"/>
      </w:divBdr>
      <w:divsChild>
        <w:div w:id="1727483359">
          <w:marLeft w:val="547"/>
          <w:marRight w:val="0"/>
          <w:marTop w:val="0"/>
          <w:marBottom w:val="0"/>
          <w:divBdr>
            <w:top w:val="none" w:sz="0" w:space="0" w:color="auto"/>
            <w:left w:val="none" w:sz="0" w:space="0" w:color="auto"/>
            <w:bottom w:val="none" w:sz="0" w:space="0" w:color="auto"/>
            <w:right w:val="none" w:sz="0" w:space="0" w:color="auto"/>
          </w:divBdr>
        </w:div>
      </w:divsChild>
    </w:div>
    <w:div w:id="168953126">
      <w:bodyDiv w:val="1"/>
      <w:marLeft w:val="0"/>
      <w:marRight w:val="0"/>
      <w:marTop w:val="0"/>
      <w:marBottom w:val="0"/>
      <w:divBdr>
        <w:top w:val="none" w:sz="0" w:space="0" w:color="auto"/>
        <w:left w:val="none" w:sz="0" w:space="0" w:color="auto"/>
        <w:bottom w:val="none" w:sz="0" w:space="0" w:color="auto"/>
        <w:right w:val="none" w:sz="0" w:space="0" w:color="auto"/>
      </w:divBdr>
    </w:div>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218439005">
      <w:bodyDiv w:val="1"/>
      <w:marLeft w:val="0"/>
      <w:marRight w:val="0"/>
      <w:marTop w:val="0"/>
      <w:marBottom w:val="0"/>
      <w:divBdr>
        <w:top w:val="none" w:sz="0" w:space="0" w:color="auto"/>
        <w:left w:val="none" w:sz="0" w:space="0" w:color="auto"/>
        <w:bottom w:val="none" w:sz="0" w:space="0" w:color="auto"/>
        <w:right w:val="none" w:sz="0" w:space="0" w:color="auto"/>
      </w:divBdr>
    </w:div>
    <w:div w:id="232594016">
      <w:bodyDiv w:val="1"/>
      <w:marLeft w:val="0"/>
      <w:marRight w:val="0"/>
      <w:marTop w:val="0"/>
      <w:marBottom w:val="0"/>
      <w:divBdr>
        <w:top w:val="none" w:sz="0" w:space="0" w:color="auto"/>
        <w:left w:val="none" w:sz="0" w:space="0" w:color="auto"/>
        <w:bottom w:val="none" w:sz="0" w:space="0" w:color="auto"/>
        <w:right w:val="none" w:sz="0" w:space="0" w:color="auto"/>
      </w:divBdr>
    </w:div>
    <w:div w:id="333798711">
      <w:bodyDiv w:val="1"/>
      <w:marLeft w:val="0"/>
      <w:marRight w:val="0"/>
      <w:marTop w:val="0"/>
      <w:marBottom w:val="0"/>
      <w:divBdr>
        <w:top w:val="none" w:sz="0" w:space="0" w:color="auto"/>
        <w:left w:val="none" w:sz="0" w:space="0" w:color="auto"/>
        <w:bottom w:val="none" w:sz="0" w:space="0" w:color="auto"/>
        <w:right w:val="none" w:sz="0" w:space="0" w:color="auto"/>
      </w:divBdr>
      <w:divsChild>
        <w:div w:id="1458599074">
          <w:marLeft w:val="547"/>
          <w:marRight w:val="0"/>
          <w:marTop w:val="0"/>
          <w:marBottom w:val="0"/>
          <w:divBdr>
            <w:top w:val="none" w:sz="0" w:space="0" w:color="auto"/>
            <w:left w:val="none" w:sz="0" w:space="0" w:color="auto"/>
            <w:bottom w:val="none" w:sz="0" w:space="0" w:color="auto"/>
            <w:right w:val="none" w:sz="0" w:space="0" w:color="auto"/>
          </w:divBdr>
        </w:div>
      </w:divsChild>
    </w:div>
    <w:div w:id="482283772">
      <w:bodyDiv w:val="1"/>
      <w:marLeft w:val="0"/>
      <w:marRight w:val="0"/>
      <w:marTop w:val="0"/>
      <w:marBottom w:val="0"/>
      <w:divBdr>
        <w:top w:val="none" w:sz="0" w:space="0" w:color="auto"/>
        <w:left w:val="none" w:sz="0" w:space="0" w:color="auto"/>
        <w:bottom w:val="none" w:sz="0" w:space="0" w:color="auto"/>
        <w:right w:val="none" w:sz="0" w:space="0" w:color="auto"/>
      </w:divBdr>
    </w:div>
    <w:div w:id="500970844">
      <w:bodyDiv w:val="1"/>
      <w:marLeft w:val="0"/>
      <w:marRight w:val="0"/>
      <w:marTop w:val="0"/>
      <w:marBottom w:val="0"/>
      <w:divBdr>
        <w:top w:val="none" w:sz="0" w:space="0" w:color="auto"/>
        <w:left w:val="none" w:sz="0" w:space="0" w:color="auto"/>
        <w:bottom w:val="none" w:sz="0" w:space="0" w:color="auto"/>
        <w:right w:val="none" w:sz="0" w:space="0" w:color="auto"/>
      </w:divBdr>
      <w:divsChild>
        <w:div w:id="181018607">
          <w:marLeft w:val="547"/>
          <w:marRight w:val="0"/>
          <w:marTop w:val="0"/>
          <w:marBottom w:val="0"/>
          <w:divBdr>
            <w:top w:val="none" w:sz="0" w:space="0" w:color="auto"/>
            <w:left w:val="none" w:sz="0" w:space="0" w:color="auto"/>
            <w:bottom w:val="none" w:sz="0" w:space="0" w:color="auto"/>
            <w:right w:val="none" w:sz="0" w:space="0" w:color="auto"/>
          </w:divBdr>
        </w:div>
      </w:divsChild>
    </w:div>
    <w:div w:id="514661697">
      <w:bodyDiv w:val="1"/>
      <w:marLeft w:val="0"/>
      <w:marRight w:val="0"/>
      <w:marTop w:val="0"/>
      <w:marBottom w:val="0"/>
      <w:divBdr>
        <w:top w:val="none" w:sz="0" w:space="0" w:color="auto"/>
        <w:left w:val="none" w:sz="0" w:space="0" w:color="auto"/>
        <w:bottom w:val="none" w:sz="0" w:space="0" w:color="auto"/>
        <w:right w:val="none" w:sz="0" w:space="0" w:color="auto"/>
      </w:divBdr>
    </w:div>
    <w:div w:id="519272466">
      <w:bodyDiv w:val="1"/>
      <w:marLeft w:val="0"/>
      <w:marRight w:val="0"/>
      <w:marTop w:val="0"/>
      <w:marBottom w:val="0"/>
      <w:divBdr>
        <w:top w:val="none" w:sz="0" w:space="0" w:color="auto"/>
        <w:left w:val="none" w:sz="0" w:space="0" w:color="auto"/>
        <w:bottom w:val="none" w:sz="0" w:space="0" w:color="auto"/>
        <w:right w:val="none" w:sz="0" w:space="0" w:color="auto"/>
      </w:divBdr>
      <w:divsChild>
        <w:div w:id="2146463409">
          <w:marLeft w:val="547"/>
          <w:marRight w:val="0"/>
          <w:marTop w:val="0"/>
          <w:marBottom w:val="0"/>
          <w:divBdr>
            <w:top w:val="none" w:sz="0" w:space="0" w:color="auto"/>
            <w:left w:val="none" w:sz="0" w:space="0" w:color="auto"/>
            <w:bottom w:val="none" w:sz="0" w:space="0" w:color="auto"/>
            <w:right w:val="none" w:sz="0" w:space="0" w:color="auto"/>
          </w:divBdr>
        </w:div>
      </w:divsChild>
    </w:div>
    <w:div w:id="530267580">
      <w:bodyDiv w:val="1"/>
      <w:marLeft w:val="0"/>
      <w:marRight w:val="0"/>
      <w:marTop w:val="0"/>
      <w:marBottom w:val="0"/>
      <w:divBdr>
        <w:top w:val="none" w:sz="0" w:space="0" w:color="auto"/>
        <w:left w:val="none" w:sz="0" w:space="0" w:color="auto"/>
        <w:bottom w:val="none" w:sz="0" w:space="0" w:color="auto"/>
        <w:right w:val="none" w:sz="0" w:space="0" w:color="auto"/>
      </w:divBdr>
      <w:divsChild>
        <w:div w:id="816261060">
          <w:marLeft w:val="547"/>
          <w:marRight w:val="0"/>
          <w:marTop w:val="0"/>
          <w:marBottom w:val="0"/>
          <w:divBdr>
            <w:top w:val="none" w:sz="0" w:space="0" w:color="auto"/>
            <w:left w:val="none" w:sz="0" w:space="0" w:color="auto"/>
            <w:bottom w:val="none" w:sz="0" w:space="0" w:color="auto"/>
            <w:right w:val="none" w:sz="0" w:space="0" w:color="auto"/>
          </w:divBdr>
        </w:div>
      </w:divsChild>
    </w:div>
    <w:div w:id="627666992">
      <w:bodyDiv w:val="1"/>
      <w:marLeft w:val="0"/>
      <w:marRight w:val="0"/>
      <w:marTop w:val="0"/>
      <w:marBottom w:val="0"/>
      <w:divBdr>
        <w:top w:val="none" w:sz="0" w:space="0" w:color="auto"/>
        <w:left w:val="none" w:sz="0" w:space="0" w:color="auto"/>
        <w:bottom w:val="none" w:sz="0" w:space="0" w:color="auto"/>
        <w:right w:val="none" w:sz="0" w:space="0" w:color="auto"/>
      </w:divBdr>
      <w:divsChild>
        <w:div w:id="345594138">
          <w:marLeft w:val="547"/>
          <w:marRight w:val="0"/>
          <w:marTop w:val="0"/>
          <w:marBottom w:val="0"/>
          <w:divBdr>
            <w:top w:val="none" w:sz="0" w:space="0" w:color="auto"/>
            <w:left w:val="none" w:sz="0" w:space="0" w:color="auto"/>
            <w:bottom w:val="none" w:sz="0" w:space="0" w:color="auto"/>
            <w:right w:val="none" w:sz="0" w:space="0" w:color="auto"/>
          </w:divBdr>
        </w:div>
        <w:div w:id="1753625162">
          <w:marLeft w:val="547"/>
          <w:marRight w:val="0"/>
          <w:marTop w:val="0"/>
          <w:marBottom w:val="0"/>
          <w:divBdr>
            <w:top w:val="none" w:sz="0" w:space="0" w:color="auto"/>
            <w:left w:val="none" w:sz="0" w:space="0" w:color="auto"/>
            <w:bottom w:val="none" w:sz="0" w:space="0" w:color="auto"/>
            <w:right w:val="none" w:sz="0" w:space="0" w:color="auto"/>
          </w:divBdr>
        </w:div>
        <w:div w:id="38365719">
          <w:marLeft w:val="547"/>
          <w:marRight w:val="0"/>
          <w:marTop w:val="0"/>
          <w:marBottom w:val="0"/>
          <w:divBdr>
            <w:top w:val="none" w:sz="0" w:space="0" w:color="auto"/>
            <w:left w:val="none" w:sz="0" w:space="0" w:color="auto"/>
            <w:bottom w:val="none" w:sz="0" w:space="0" w:color="auto"/>
            <w:right w:val="none" w:sz="0" w:space="0" w:color="auto"/>
          </w:divBdr>
        </w:div>
      </w:divsChild>
    </w:div>
    <w:div w:id="652565122">
      <w:bodyDiv w:val="1"/>
      <w:marLeft w:val="0"/>
      <w:marRight w:val="0"/>
      <w:marTop w:val="0"/>
      <w:marBottom w:val="0"/>
      <w:divBdr>
        <w:top w:val="none" w:sz="0" w:space="0" w:color="auto"/>
        <w:left w:val="none" w:sz="0" w:space="0" w:color="auto"/>
        <w:bottom w:val="none" w:sz="0" w:space="0" w:color="auto"/>
        <w:right w:val="none" w:sz="0" w:space="0" w:color="auto"/>
      </w:divBdr>
      <w:divsChild>
        <w:div w:id="919021832">
          <w:marLeft w:val="547"/>
          <w:marRight w:val="0"/>
          <w:marTop w:val="0"/>
          <w:marBottom w:val="0"/>
          <w:divBdr>
            <w:top w:val="none" w:sz="0" w:space="0" w:color="auto"/>
            <w:left w:val="none" w:sz="0" w:space="0" w:color="auto"/>
            <w:bottom w:val="none" w:sz="0" w:space="0" w:color="auto"/>
            <w:right w:val="none" w:sz="0" w:space="0" w:color="auto"/>
          </w:divBdr>
        </w:div>
      </w:divsChild>
    </w:div>
    <w:div w:id="690379129">
      <w:bodyDiv w:val="1"/>
      <w:marLeft w:val="0"/>
      <w:marRight w:val="0"/>
      <w:marTop w:val="0"/>
      <w:marBottom w:val="0"/>
      <w:divBdr>
        <w:top w:val="none" w:sz="0" w:space="0" w:color="auto"/>
        <w:left w:val="none" w:sz="0" w:space="0" w:color="auto"/>
        <w:bottom w:val="none" w:sz="0" w:space="0" w:color="auto"/>
        <w:right w:val="none" w:sz="0" w:space="0" w:color="auto"/>
      </w:divBdr>
    </w:div>
    <w:div w:id="749430789">
      <w:bodyDiv w:val="1"/>
      <w:marLeft w:val="0"/>
      <w:marRight w:val="0"/>
      <w:marTop w:val="0"/>
      <w:marBottom w:val="0"/>
      <w:divBdr>
        <w:top w:val="none" w:sz="0" w:space="0" w:color="auto"/>
        <w:left w:val="none" w:sz="0" w:space="0" w:color="auto"/>
        <w:bottom w:val="none" w:sz="0" w:space="0" w:color="auto"/>
        <w:right w:val="none" w:sz="0" w:space="0" w:color="auto"/>
      </w:divBdr>
    </w:div>
    <w:div w:id="825517822">
      <w:bodyDiv w:val="1"/>
      <w:marLeft w:val="0"/>
      <w:marRight w:val="0"/>
      <w:marTop w:val="0"/>
      <w:marBottom w:val="0"/>
      <w:divBdr>
        <w:top w:val="none" w:sz="0" w:space="0" w:color="auto"/>
        <w:left w:val="none" w:sz="0" w:space="0" w:color="auto"/>
        <w:bottom w:val="none" w:sz="0" w:space="0" w:color="auto"/>
        <w:right w:val="none" w:sz="0" w:space="0" w:color="auto"/>
      </w:divBdr>
    </w:div>
    <w:div w:id="953252104">
      <w:bodyDiv w:val="1"/>
      <w:marLeft w:val="0"/>
      <w:marRight w:val="0"/>
      <w:marTop w:val="0"/>
      <w:marBottom w:val="0"/>
      <w:divBdr>
        <w:top w:val="none" w:sz="0" w:space="0" w:color="auto"/>
        <w:left w:val="none" w:sz="0" w:space="0" w:color="auto"/>
        <w:bottom w:val="none" w:sz="0" w:space="0" w:color="auto"/>
        <w:right w:val="none" w:sz="0" w:space="0" w:color="auto"/>
      </w:divBdr>
      <w:divsChild>
        <w:div w:id="1579483260">
          <w:marLeft w:val="547"/>
          <w:marRight w:val="0"/>
          <w:marTop w:val="0"/>
          <w:marBottom w:val="0"/>
          <w:divBdr>
            <w:top w:val="none" w:sz="0" w:space="0" w:color="auto"/>
            <w:left w:val="none" w:sz="0" w:space="0" w:color="auto"/>
            <w:bottom w:val="none" w:sz="0" w:space="0" w:color="auto"/>
            <w:right w:val="none" w:sz="0" w:space="0" w:color="auto"/>
          </w:divBdr>
        </w:div>
        <w:div w:id="1655837502">
          <w:marLeft w:val="547"/>
          <w:marRight w:val="0"/>
          <w:marTop w:val="0"/>
          <w:marBottom w:val="0"/>
          <w:divBdr>
            <w:top w:val="none" w:sz="0" w:space="0" w:color="auto"/>
            <w:left w:val="none" w:sz="0" w:space="0" w:color="auto"/>
            <w:bottom w:val="none" w:sz="0" w:space="0" w:color="auto"/>
            <w:right w:val="none" w:sz="0" w:space="0" w:color="auto"/>
          </w:divBdr>
        </w:div>
      </w:divsChild>
    </w:div>
    <w:div w:id="963343153">
      <w:bodyDiv w:val="1"/>
      <w:marLeft w:val="0"/>
      <w:marRight w:val="0"/>
      <w:marTop w:val="0"/>
      <w:marBottom w:val="0"/>
      <w:divBdr>
        <w:top w:val="none" w:sz="0" w:space="0" w:color="auto"/>
        <w:left w:val="none" w:sz="0" w:space="0" w:color="auto"/>
        <w:bottom w:val="none" w:sz="0" w:space="0" w:color="auto"/>
        <w:right w:val="none" w:sz="0" w:space="0" w:color="auto"/>
      </w:divBdr>
    </w:div>
    <w:div w:id="974676017">
      <w:bodyDiv w:val="1"/>
      <w:marLeft w:val="0"/>
      <w:marRight w:val="0"/>
      <w:marTop w:val="0"/>
      <w:marBottom w:val="0"/>
      <w:divBdr>
        <w:top w:val="none" w:sz="0" w:space="0" w:color="auto"/>
        <w:left w:val="none" w:sz="0" w:space="0" w:color="auto"/>
        <w:bottom w:val="none" w:sz="0" w:space="0" w:color="auto"/>
        <w:right w:val="none" w:sz="0" w:space="0" w:color="auto"/>
      </w:divBdr>
    </w:div>
    <w:div w:id="1006059597">
      <w:bodyDiv w:val="1"/>
      <w:marLeft w:val="0"/>
      <w:marRight w:val="0"/>
      <w:marTop w:val="0"/>
      <w:marBottom w:val="0"/>
      <w:divBdr>
        <w:top w:val="none" w:sz="0" w:space="0" w:color="auto"/>
        <w:left w:val="none" w:sz="0" w:space="0" w:color="auto"/>
        <w:bottom w:val="none" w:sz="0" w:space="0" w:color="auto"/>
        <w:right w:val="none" w:sz="0" w:space="0" w:color="auto"/>
      </w:divBdr>
    </w:div>
    <w:div w:id="1017998213">
      <w:bodyDiv w:val="1"/>
      <w:marLeft w:val="0"/>
      <w:marRight w:val="0"/>
      <w:marTop w:val="0"/>
      <w:marBottom w:val="0"/>
      <w:divBdr>
        <w:top w:val="none" w:sz="0" w:space="0" w:color="auto"/>
        <w:left w:val="none" w:sz="0" w:space="0" w:color="auto"/>
        <w:bottom w:val="none" w:sz="0" w:space="0" w:color="auto"/>
        <w:right w:val="none" w:sz="0" w:space="0" w:color="auto"/>
      </w:divBdr>
      <w:divsChild>
        <w:div w:id="1337808240">
          <w:marLeft w:val="547"/>
          <w:marRight w:val="0"/>
          <w:marTop w:val="0"/>
          <w:marBottom w:val="0"/>
          <w:divBdr>
            <w:top w:val="none" w:sz="0" w:space="0" w:color="auto"/>
            <w:left w:val="none" w:sz="0" w:space="0" w:color="auto"/>
            <w:bottom w:val="none" w:sz="0" w:space="0" w:color="auto"/>
            <w:right w:val="none" w:sz="0" w:space="0" w:color="auto"/>
          </w:divBdr>
        </w:div>
      </w:divsChild>
    </w:div>
    <w:div w:id="1064453401">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3472288">
      <w:bodyDiv w:val="1"/>
      <w:marLeft w:val="0"/>
      <w:marRight w:val="0"/>
      <w:marTop w:val="0"/>
      <w:marBottom w:val="0"/>
      <w:divBdr>
        <w:top w:val="none" w:sz="0" w:space="0" w:color="auto"/>
        <w:left w:val="none" w:sz="0" w:space="0" w:color="auto"/>
        <w:bottom w:val="none" w:sz="0" w:space="0" w:color="auto"/>
        <w:right w:val="none" w:sz="0" w:space="0" w:color="auto"/>
      </w:divBdr>
      <w:divsChild>
        <w:div w:id="404450890">
          <w:marLeft w:val="547"/>
          <w:marRight w:val="0"/>
          <w:marTop w:val="0"/>
          <w:marBottom w:val="0"/>
          <w:divBdr>
            <w:top w:val="none" w:sz="0" w:space="0" w:color="auto"/>
            <w:left w:val="none" w:sz="0" w:space="0" w:color="auto"/>
            <w:bottom w:val="none" w:sz="0" w:space="0" w:color="auto"/>
            <w:right w:val="none" w:sz="0" w:space="0" w:color="auto"/>
          </w:divBdr>
        </w:div>
      </w:divsChild>
    </w:div>
    <w:div w:id="1123303711">
      <w:bodyDiv w:val="1"/>
      <w:marLeft w:val="0"/>
      <w:marRight w:val="0"/>
      <w:marTop w:val="0"/>
      <w:marBottom w:val="0"/>
      <w:divBdr>
        <w:top w:val="none" w:sz="0" w:space="0" w:color="auto"/>
        <w:left w:val="none" w:sz="0" w:space="0" w:color="auto"/>
        <w:bottom w:val="none" w:sz="0" w:space="0" w:color="auto"/>
        <w:right w:val="none" w:sz="0" w:space="0" w:color="auto"/>
      </w:divBdr>
    </w:div>
    <w:div w:id="1160389936">
      <w:bodyDiv w:val="1"/>
      <w:marLeft w:val="0"/>
      <w:marRight w:val="0"/>
      <w:marTop w:val="0"/>
      <w:marBottom w:val="0"/>
      <w:divBdr>
        <w:top w:val="none" w:sz="0" w:space="0" w:color="auto"/>
        <w:left w:val="none" w:sz="0" w:space="0" w:color="auto"/>
        <w:bottom w:val="none" w:sz="0" w:space="0" w:color="auto"/>
        <w:right w:val="none" w:sz="0" w:space="0" w:color="auto"/>
      </w:divBdr>
      <w:divsChild>
        <w:div w:id="1574505788">
          <w:marLeft w:val="547"/>
          <w:marRight w:val="0"/>
          <w:marTop w:val="0"/>
          <w:marBottom w:val="0"/>
          <w:divBdr>
            <w:top w:val="none" w:sz="0" w:space="0" w:color="auto"/>
            <w:left w:val="none" w:sz="0" w:space="0" w:color="auto"/>
            <w:bottom w:val="none" w:sz="0" w:space="0" w:color="auto"/>
            <w:right w:val="none" w:sz="0" w:space="0" w:color="auto"/>
          </w:divBdr>
        </w:div>
      </w:divsChild>
    </w:div>
    <w:div w:id="1475683041">
      <w:bodyDiv w:val="1"/>
      <w:marLeft w:val="0"/>
      <w:marRight w:val="0"/>
      <w:marTop w:val="0"/>
      <w:marBottom w:val="0"/>
      <w:divBdr>
        <w:top w:val="none" w:sz="0" w:space="0" w:color="auto"/>
        <w:left w:val="none" w:sz="0" w:space="0" w:color="auto"/>
        <w:bottom w:val="none" w:sz="0" w:space="0" w:color="auto"/>
        <w:right w:val="none" w:sz="0" w:space="0" w:color="auto"/>
      </w:divBdr>
    </w:div>
    <w:div w:id="1507400498">
      <w:bodyDiv w:val="1"/>
      <w:marLeft w:val="0"/>
      <w:marRight w:val="0"/>
      <w:marTop w:val="0"/>
      <w:marBottom w:val="0"/>
      <w:divBdr>
        <w:top w:val="none" w:sz="0" w:space="0" w:color="auto"/>
        <w:left w:val="none" w:sz="0" w:space="0" w:color="auto"/>
        <w:bottom w:val="none" w:sz="0" w:space="0" w:color="auto"/>
        <w:right w:val="none" w:sz="0" w:space="0" w:color="auto"/>
      </w:divBdr>
    </w:div>
    <w:div w:id="1558778105">
      <w:bodyDiv w:val="1"/>
      <w:marLeft w:val="0"/>
      <w:marRight w:val="0"/>
      <w:marTop w:val="0"/>
      <w:marBottom w:val="0"/>
      <w:divBdr>
        <w:top w:val="none" w:sz="0" w:space="0" w:color="auto"/>
        <w:left w:val="none" w:sz="0" w:space="0" w:color="auto"/>
        <w:bottom w:val="none" w:sz="0" w:space="0" w:color="auto"/>
        <w:right w:val="none" w:sz="0" w:space="0" w:color="auto"/>
      </w:divBdr>
    </w:div>
    <w:div w:id="1697192773">
      <w:bodyDiv w:val="1"/>
      <w:marLeft w:val="0"/>
      <w:marRight w:val="0"/>
      <w:marTop w:val="0"/>
      <w:marBottom w:val="0"/>
      <w:divBdr>
        <w:top w:val="none" w:sz="0" w:space="0" w:color="auto"/>
        <w:left w:val="none" w:sz="0" w:space="0" w:color="auto"/>
        <w:bottom w:val="none" w:sz="0" w:space="0" w:color="auto"/>
        <w:right w:val="none" w:sz="0" w:space="0" w:color="auto"/>
      </w:divBdr>
    </w:div>
    <w:div w:id="1735082997">
      <w:bodyDiv w:val="1"/>
      <w:marLeft w:val="0"/>
      <w:marRight w:val="0"/>
      <w:marTop w:val="0"/>
      <w:marBottom w:val="0"/>
      <w:divBdr>
        <w:top w:val="none" w:sz="0" w:space="0" w:color="auto"/>
        <w:left w:val="none" w:sz="0" w:space="0" w:color="auto"/>
        <w:bottom w:val="none" w:sz="0" w:space="0" w:color="auto"/>
        <w:right w:val="none" w:sz="0" w:space="0" w:color="auto"/>
      </w:divBdr>
    </w:div>
    <w:div w:id="1739129770">
      <w:bodyDiv w:val="1"/>
      <w:marLeft w:val="0"/>
      <w:marRight w:val="0"/>
      <w:marTop w:val="0"/>
      <w:marBottom w:val="0"/>
      <w:divBdr>
        <w:top w:val="none" w:sz="0" w:space="0" w:color="auto"/>
        <w:left w:val="none" w:sz="0" w:space="0" w:color="auto"/>
        <w:bottom w:val="none" w:sz="0" w:space="0" w:color="auto"/>
        <w:right w:val="none" w:sz="0" w:space="0" w:color="auto"/>
      </w:divBdr>
      <w:divsChild>
        <w:div w:id="1190949348">
          <w:marLeft w:val="547"/>
          <w:marRight w:val="0"/>
          <w:marTop w:val="0"/>
          <w:marBottom w:val="0"/>
          <w:divBdr>
            <w:top w:val="none" w:sz="0" w:space="0" w:color="auto"/>
            <w:left w:val="none" w:sz="0" w:space="0" w:color="auto"/>
            <w:bottom w:val="none" w:sz="0" w:space="0" w:color="auto"/>
            <w:right w:val="none" w:sz="0" w:space="0" w:color="auto"/>
          </w:divBdr>
        </w:div>
      </w:divsChild>
    </w:div>
    <w:div w:id="17500373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732">
          <w:marLeft w:val="547"/>
          <w:marRight w:val="0"/>
          <w:marTop w:val="0"/>
          <w:marBottom w:val="0"/>
          <w:divBdr>
            <w:top w:val="none" w:sz="0" w:space="0" w:color="auto"/>
            <w:left w:val="none" w:sz="0" w:space="0" w:color="auto"/>
            <w:bottom w:val="none" w:sz="0" w:space="0" w:color="auto"/>
            <w:right w:val="none" w:sz="0" w:space="0" w:color="auto"/>
          </w:divBdr>
        </w:div>
      </w:divsChild>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816800332">
      <w:bodyDiv w:val="1"/>
      <w:marLeft w:val="0"/>
      <w:marRight w:val="0"/>
      <w:marTop w:val="0"/>
      <w:marBottom w:val="0"/>
      <w:divBdr>
        <w:top w:val="none" w:sz="0" w:space="0" w:color="auto"/>
        <w:left w:val="none" w:sz="0" w:space="0" w:color="auto"/>
        <w:bottom w:val="none" w:sz="0" w:space="0" w:color="auto"/>
        <w:right w:val="none" w:sz="0" w:space="0" w:color="auto"/>
      </w:divBdr>
    </w:div>
    <w:div w:id="1869903879">
      <w:bodyDiv w:val="1"/>
      <w:marLeft w:val="0"/>
      <w:marRight w:val="0"/>
      <w:marTop w:val="0"/>
      <w:marBottom w:val="0"/>
      <w:divBdr>
        <w:top w:val="none" w:sz="0" w:space="0" w:color="auto"/>
        <w:left w:val="none" w:sz="0" w:space="0" w:color="auto"/>
        <w:bottom w:val="none" w:sz="0" w:space="0" w:color="auto"/>
        <w:right w:val="none" w:sz="0" w:space="0" w:color="auto"/>
      </w:divBdr>
    </w:div>
    <w:div w:id="2060547752">
      <w:bodyDiv w:val="1"/>
      <w:marLeft w:val="0"/>
      <w:marRight w:val="0"/>
      <w:marTop w:val="0"/>
      <w:marBottom w:val="0"/>
      <w:divBdr>
        <w:top w:val="none" w:sz="0" w:space="0" w:color="auto"/>
        <w:left w:val="none" w:sz="0" w:space="0" w:color="auto"/>
        <w:bottom w:val="none" w:sz="0" w:space="0" w:color="auto"/>
        <w:right w:val="none" w:sz="0" w:space="0" w:color="auto"/>
      </w:divBdr>
      <w:divsChild>
        <w:div w:id="475804644">
          <w:marLeft w:val="547"/>
          <w:marRight w:val="0"/>
          <w:marTop w:val="0"/>
          <w:marBottom w:val="0"/>
          <w:divBdr>
            <w:top w:val="none" w:sz="0" w:space="0" w:color="auto"/>
            <w:left w:val="none" w:sz="0" w:space="0" w:color="auto"/>
            <w:bottom w:val="none" w:sz="0" w:space="0" w:color="auto"/>
            <w:right w:val="none" w:sz="0" w:space="0" w:color="auto"/>
          </w:divBdr>
        </w:div>
        <w:div w:id="382143082">
          <w:marLeft w:val="547"/>
          <w:marRight w:val="0"/>
          <w:marTop w:val="0"/>
          <w:marBottom w:val="0"/>
          <w:divBdr>
            <w:top w:val="none" w:sz="0" w:space="0" w:color="auto"/>
            <w:left w:val="none" w:sz="0" w:space="0" w:color="auto"/>
            <w:bottom w:val="none" w:sz="0" w:space="0" w:color="auto"/>
            <w:right w:val="none" w:sz="0" w:space="0" w:color="auto"/>
          </w:divBdr>
        </w:div>
        <w:div w:id="1896551345">
          <w:marLeft w:val="547"/>
          <w:marRight w:val="0"/>
          <w:marTop w:val="0"/>
          <w:marBottom w:val="0"/>
          <w:divBdr>
            <w:top w:val="none" w:sz="0" w:space="0" w:color="auto"/>
            <w:left w:val="none" w:sz="0" w:space="0" w:color="auto"/>
            <w:bottom w:val="none" w:sz="0" w:space="0" w:color="auto"/>
            <w:right w:val="none" w:sz="0" w:space="0" w:color="auto"/>
          </w:divBdr>
        </w:div>
      </w:divsChild>
    </w:div>
    <w:div w:id="2091655445">
      <w:bodyDiv w:val="1"/>
      <w:marLeft w:val="0"/>
      <w:marRight w:val="0"/>
      <w:marTop w:val="0"/>
      <w:marBottom w:val="0"/>
      <w:divBdr>
        <w:top w:val="none" w:sz="0" w:space="0" w:color="auto"/>
        <w:left w:val="none" w:sz="0" w:space="0" w:color="auto"/>
        <w:bottom w:val="none" w:sz="0" w:space="0" w:color="auto"/>
        <w:right w:val="none" w:sz="0" w:space="0" w:color="auto"/>
      </w:divBdr>
    </w:div>
    <w:div w:id="21139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gov.kz/" TargetMode="External"/><Relationship Id="rId18" Type="http://schemas.openxmlformats.org/officeDocument/2006/relationships/hyperlink" Target="http://www.stat.gov.kz/" TargetMode="External"/><Relationship Id="rId26" Type="http://schemas.openxmlformats.org/officeDocument/2006/relationships/chart" Target="charts/chart11.xml"/><Relationship Id="rId39" Type="http://schemas.openxmlformats.org/officeDocument/2006/relationships/image" Target="media/image4.png"/><Relationship Id="rId21" Type="http://schemas.openxmlformats.org/officeDocument/2006/relationships/chart" Target="charts/chart8.xml"/><Relationship Id="rId34" Type="http://schemas.openxmlformats.org/officeDocument/2006/relationships/chart" Target="charts/chart16.xml"/><Relationship Id="rId42" Type="http://schemas.openxmlformats.org/officeDocument/2006/relationships/image" Target="media/image7.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3.xml"/><Relationship Id="rId11" Type="http://schemas.openxmlformats.org/officeDocument/2006/relationships/hyperlink" Target="http://www.stat.gov.kz/" TargetMode="External"/><Relationship Id="rId24" Type="http://schemas.openxmlformats.org/officeDocument/2006/relationships/hyperlink" Target="http://www.stat.gov.kz/" TargetMode="External"/><Relationship Id="rId32" Type="http://schemas.openxmlformats.org/officeDocument/2006/relationships/hyperlink" Target="https://damu.kz/"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yperlink" Target="https://www.singstat.gov.sg/modules/infographics/economy" TargetMode="External"/><Relationship Id="rId5" Type="http://schemas.openxmlformats.org/officeDocument/2006/relationships/webSettings" Target="webSettings.xml"/><Relationship Id="rId15" Type="http://schemas.openxmlformats.org/officeDocument/2006/relationships/hyperlink" Target="http://www.stat.gov.kz/" TargetMode="External"/><Relationship Id="rId23" Type="http://schemas.openxmlformats.org/officeDocument/2006/relationships/chart" Target="charts/chart9.xml"/><Relationship Id="rId28" Type="http://schemas.openxmlformats.org/officeDocument/2006/relationships/hyperlink" Target="http://www.stat.gov.kz/" TargetMode="External"/><Relationship Id="rId36" Type="http://schemas.openxmlformats.org/officeDocument/2006/relationships/image" Target="media/image1.png"/><Relationship Id="rId49"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7.xml"/><Relationship Id="rId31" Type="http://schemas.openxmlformats.org/officeDocument/2006/relationships/chart" Target="charts/chart14.xml"/><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stat.gov.kz/" TargetMode="External"/><Relationship Id="rId14" Type="http://schemas.openxmlformats.org/officeDocument/2006/relationships/chart" Target="charts/chart4.xml"/><Relationship Id="rId22" Type="http://schemas.openxmlformats.org/officeDocument/2006/relationships/hyperlink" Target="http://www.stat.gov.kz/" TargetMode="External"/><Relationship Id="rId27" Type="http://schemas.openxmlformats.org/officeDocument/2006/relationships/chart" Target="charts/chart12.xml"/><Relationship Id="rId30" Type="http://schemas.openxmlformats.org/officeDocument/2006/relationships/hyperlink" Target="https://www.gov.kz/memleket/entities/ardfm/press/article/details/72350?lang=ru" TargetMode="External"/><Relationship Id="rId35" Type="http://schemas.openxmlformats.org/officeDocument/2006/relationships/chart" Target="charts/chart17.xml"/><Relationship Id="rId43" Type="http://schemas.openxmlformats.org/officeDocument/2006/relationships/image" Target="media/image8.jpeg"/><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chart" Target="charts/chart10.xml"/><Relationship Id="rId33" Type="http://schemas.openxmlformats.org/officeDocument/2006/relationships/chart" Target="charts/chart15.xml"/><Relationship Id="rId38" Type="http://schemas.openxmlformats.org/officeDocument/2006/relationships/image" Target="media/image3.png"/><Relationship Id="rId46" Type="http://schemas.openxmlformats.org/officeDocument/2006/relationships/chart" Target="charts/chart18.xml"/><Relationship Id="rId20" Type="http://schemas.openxmlformats.org/officeDocument/2006/relationships/hyperlink" Target="http://www.stat.gov.kz/"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1075;&#1088;&#1072;&#1092;&#1080;&#1082;&#1080;%20&#1089;&#1090;&#1088;&#1072;&#1090;&#1077;&#1075;&#1080;&#1103;%2017.09.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44;&#1080;&#1072;&#1075;&#1088;&#1072;&#1084;&#1084;&#1072;%20&#1074;%20Microsoft%20PowerPoin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bekzat.imashev\AppData\Local\Microsoft\Windows\INetCache\Content.Outlook\WYRA6VU5\&#1054;&#1044;%2001.06.2025.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3.xml"/></Relationships>
</file>

<file path=word/charts/_rels/chart14.xml.rels><?xml version="1.0" encoding="UTF-8" standalone="yes"?>
<Relationships xmlns="http://schemas.openxmlformats.org/package/2006/relationships"><Relationship Id="rId3" Type="http://schemas.openxmlformats.org/officeDocument/2006/relationships/oleObject" Target="file:///D:\&#1040;&#1083;&#1076;&#1080;&#1103;&#1088;\&#1040;&#1085;&#1072;&#1083;&#1080;&#1090;&#1080;&#1095;&#1077;&#1089;&#1082;&#1080;&#1081;%20&#1086;&#1090;&#1095;&#1077;&#1090;\&#1075;&#1088;&#1072;&#1092;&#1080;&#1082;&#1080;%20&#1057;&#1077;&#1085;&#1072;&#1090;%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1040;&#1083;&#1076;&#1080;&#1103;&#1088;\&#1040;&#1085;&#1072;&#1083;&#1080;&#1090;&#1080;&#1095;&#1077;&#1089;&#1082;&#1080;&#1081;%20&#1086;&#1090;&#1095;&#1077;&#1090;\&#1075;&#1088;&#1072;&#1092;&#1080;&#1082;&#1080;%20&#1057;&#1077;&#1085;&#1072;&#1090;%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1" Type="http://schemas.openxmlformats.org/officeDocument/2006/relationships/oleObject" Target="file:///D:\&#1040;&#1083;&#1076;&#1080;&#1103;&#1088;\&#1040;&#1085;&#1072;&#1083;&#1080;&#1090;&#1080;&#1095;&#1077;&#1089;&#1082;&#1080;&#1081;%20&#1086;&#1090;&#1095;&#1077;&#1090;\&#1075;&#1088;&#1072;&#1092;&#1080;&#1082;&#1080;%20&#1057;&#1077;&#1085;&#1072;&#1090;%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40;&#1083;&#1076;&#1080;&#1103;&#1088;\&#1040;&#1085;&#1072;&#1083;&#1080;&#1090;&#1080;&#1095;&#1077;&#1089;&#1082;&#1080;&#1081;%20&#1086;&#1090;&#1095;&#1077;&#1090;\&#1075;&#1088;&#1072;&#1092;&#1080;&#1082;&#1080;%20&#1057;&#1077;&#1085;&#1072;&#1090;%202.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sem.kurmangalieva\Desktop\&#1044;&#1072;&#1085;&#1085;&#1099;&#1077;%20&#1087;&#1086;%20&#1084;&#1086;&#1085;&#1080;&#1090;&#1086;&#1088;&#1080;&#1085;&#1075;&#1091;%20+.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2.22\&#1088;&#1072;&#1073;&#1086;&#1095;&#1080;&#1081;%20&#1089;&#1090;&#1086;&#1083;\0000001%202023\04%20&#1072;&#1087;&#1088;&#1077;&#1083;&#1100;\&#1052;&#1072;&#1088;&#1078;&#1072;&#1085;%20&#1089;&#1090;&#1088;&#1072;&#1090;&#1077;&#1075;&#1080;&#1103;\&#1075;&#1088;&#1072;&#1092;&#1080;&#1082;&#1080;%20&#1089;&#1090;&#1088;&#1072;&#1090;&#1077;&#1075;&#1080;&#1103;\!!!&#1057;&#1090;&#1072;&#1090;%20&#1076;&#1072;&#1085;&#1085;&#1099;&#1077;%202020%20(&#1040;&#1074;&#1090;&#1086;&#1089;&#1086;&#1093;&#1088;&#1072;&#1085;&#1077;&#1085;&#1085;&#1099;&#1081;)%2001.09.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6;&#1072;&#1073;&#1086;&#1095;&#1080;&#1081;%20&#1089;&#1090;&#1086;&#1083;\0000001%202023\06%20&#1080;&#1102;&#1085;&#1100;\&#1057;&#1090;&#1088;&#1072;&#1090;&#1089;&#1077;&#1089;&#1089;&#1080;&#1103;\&#1075;&#1088;&#1072;&#1092;&#1080;&#1082;&#1080;%20&#1089;&#1090;&#1088;&#1072;&#1090;&#1077;&#1075;&#1080;&#1103;%202023.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2.22\&#1088;&#1072;&#1073;&#1086;&#1095;&#1080;&#1081;%20&#1089;&#1090;&#1086;&#1083;\0000001%202023\04%20&#1072;&#1087;&#1088;&#1077;&#1083;&#1100;\&#1052;&#1072;&#1088;&#1078;&#1072;&#1085;%20&#1089;&#1090;&#1088;&#1072;&#1090;&#1077;&#1075;&#1080;&#1103;\&#1075;&#1088;&#1072;&#1092;&#1080;&#1082;&#1080;%20&#1089;&#1090;&#1088;&#1072;&#1090;&#1077;&#1075;&#1080;&#1103;\!!!&#1057;&#1090;&#1072;&#1090;%20&#1076;&#1072;&#1085;&#1085;&#1099;&#1077;%202020%20(&#1040;&#1074;&#1090;&#1086;&#1089;&#1086;&#1093;&#1088;&#1072;&#1085;&#1077;&#1085;&#1085;&#1099;&#1081;)%2001.09.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056;&#1072;&#1073;&#1086;&#1095;&#1080;&#1081;%20&#1089;&#1090;&#1086;&#1083;\0000001%202023\06%20&#1080;&#1102;&#1085;&#1100;\&#1057;&#1090;&#1088;&#1072;&#1090;&#1089;&#1077;&#1089;&#1089;&#1080;&#1103;\&#1075;&#1088;&#1072;&#1092;&#1080;&#1082;&#1080;%20&#1089;&#1090;&#1088;&#1072;&#1090;&#1077;&#1075;&#1080;&#1103;%20202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1075;&#1088;&#1072;&#1092;&#1080;&#1082;&#1080;%20&#1089;&#1090;&#1088;&#1072;&#1090;&#1077;&#1075;&#1080;&#1103;%2017.09.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4%20&#1044;&#1080;&#1075;&#1088;&#1072;&#1084;&#1084;&#1099;%20&#1082;&#1085;&#1080;&#1075;&#107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количество!$A$115</c:f>
              <c:strCache>
                <c:ptCount val="1"/>
                <c:pt idx="0">
                  <c:v>Зарегистрированные субъекты МСП, тыс. ед</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количество!$B$115:$L$115</c:f>
              <c:numCache>
                <c:formatCode>#,##0</c:formatCode>
                <c:ptCount val="11"/>
                <c:pt idx="0">
                  <c:v>1481.454</c:v>
                </c:pt>
                <c:pt idx="1">
                  <c:v>1498.2429999999999</c:v>
                </c:pt>
                <c:pt idx="2">
                  <c:v>1540.5920000000001</c:v>
                </c:pt>
                <c:pt idx="3">
                  <c:v>1577.7470000000001</c:v>
                </c:pt>
                <c:pt idx="4">
                  <c:v>1603.8389999999999</c:v>
                </c:pt>
                <c:pt idx="5">
                  <c:v>1610.4960000000001</c:v>
                </c:pt>
                <c:pt idx="6">
                  <c:v>1694.672</c:v>
                </c:pt>
                <c:pt idx="7">
                  <c:v>2026.527</c:v>
                </c:pt>
                <c:pt idx="8">
                  <c:v>2178.951</c:v>
                </c:pt>
                <c:pt idx="9">
                  <c:v>2262.3919999999998</c:v>
                </c:pt>
                <c:pt idx="10" formatCode="_-* #\ ##0_-;\-* #\ ##0_-;_-* &quot;-&quot;??_-;_-@_-">
                  <c:v>2314.2600000000002</c:v>
                </c:pt>
              </c:numCache>
            </c:numRef>
          </c:val>
          <c:extLst>
            <c:ext xmlns:c16="http://schemas.microsoft.com/office/drawing/2014/chart" uri="{C3380CC4-5D6E-409C-BE32-E72D297353CC}">
              <c16:uniqueId val="{00000000-4731-48C3-86C7-C23DF9D6709E}"/>
            </c:ext>
          </c:extLst>
        </c:ser>
        <c:ser>
          <c:idx val="1"/>
          <c:order val="1"/>
          <c:tx>
            <c:strRef>
              <c:f>количество!$A$116</c:f>
              <c:strCache>
                <c:ptCount val="1"/>
                <c:pt idx="0">
                  <c:v>Активные/действующие субъекты МСП, тыс. ед</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количество!$B$116:$L$116</c:f>
              <c:numCache>
                <c:formatCode>#,##0</c:formatCode>
                <c:ptCount val="11"/>
                <c:pt idx="0">
                  <c:v>1242.579</c:v>
                </c:pt>
                <c:pt idx="1">
                  <c:v>1106.3530000000001</c:v>
                </c:pt>
                <c:pt idx="2">
                  <c:v>1145.9939999999999</c:v>
                </c:pt>
                <c:pt idx="3">
                  <c:v>1241.328</c:v>
                </c:pt>
                <c:pt idx="4">
                  <c:v>1330.2439999999999</c:v>
                </c:pt>
                <c:pt idx="5">
                  <c:v>1357.3109999999999</c:v>
                </c:pt>
                <c:pt idx="6">
                  <c:v>1431.6469999999999</c:v>
                </c:pt>
                <c:pt idx="7">
                  <c:v>1818.7639999999999</c:v>
                </c:pt>
                <c:pt idx="8">
                  <c:v>2002.1990000000001</c:v>
                </c:pt>
                <c:pt idx="9">
                  <c:v>2071.6570000000002</c:v>
                </c:pt>
                <c:pt idx="10" formatCode="_-* #\ ##0_-;\-* #\ ##0_-;_-* &quot;-&quot;??_-;_-@_-">
                  <c:v>2109.4250000000002</c:v>
                </c:pt>
              </c:numCache>
            </c:numRef>
          </c:val>
          <c:extLst>
            <c:ext xmlns:c16="http://schemas.microsoft.com/office/drawing/2014/chart" uri="{C3380CC4-5D6E-409C-BE32-E72D297353CC}">
              <c16:uniqueId val="{00000001-4731-48C3-86C7-C23DF9D6709E}"/>
            </c:ext>
          </c:extLst>
        </c:ser>
        <c:dLbls>
          <c:showLegendKey val="0"/>
          <c:showVal val="0"/>
          <c:showCatName val="0"/>
          <c:showSerName val="0"/>
          <c:showPercent val="0"/>
          <c:showBubbleSize val="0"/>
        </c:dLbls>
        <c:gapWidth val="50"/>
        <c:axId val="1042082607"/>
        <c:axId val="771151647"/>
      </c:barChart>
      <c:lineChart>
        <c:grouping val="standard"/>
        <c:varyColors val="0"/>
        <c:ser>
          <c:idx val="2"/>
          <c:order val="2"/>
          <c:tx>
            <c:strRef>
              <c:f>количество!$A$117</c:f>
              <c:strCache>
                <c:ptCount val="1"/>
                <c:pt idx="0">
                  <c:v>Доля действующих субъектов МСП,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количество!$B$117:$L$117</c:f>
              <c:numCache>
                <c:formatCode>_-* #\ ##0.0_-;\-* #\ ##0.0_-;_-* "-"??_-;_-@_-</c:formatCode>
                <c:ptCount val="11"/>
                <c:pt idx="0">
                  <c:v>83.875638393092188</c:v>
                </c:pt>
                <c:pt idx="1">
                  <c:v>73.843361857856166</c:v>
                </c:pt>
                <c:pt idx="2">
                  <c:v>74.386599437099505</c:v>
                </c:pt>
                <c:pt idx="3">
                  <c:v>78.677253070359185</c:v>
                </c:pt>
                <c:pt idx="4">
                  <c:v>82.941242855423766</c:v>
                </c:pt>
                <c:pt idx="5">
                  <c:v>84.279066821649963</c:v>
                </c:pt>
                <c:pt idx="6">
                  <c:v>84.479297468772714</c:v>
                </c:pt>
                <c:pt idx="7">
                  <c:v>89.747829661287497</c:v>
                </c:pt>
                <c:pt idx="8">
                  <c:v>91.88820675637038</c:v>
                </c:pt>
                <c:pt idx="9">
                  <c:v>91.569321320089543</c:v>
                </c:pt>
                <c:pt idx="10">
                  <c:v>91.149006593900424</c:v>
                </c:pt>
              </c:numCache>
            </c:numRef>
          </c:val>
          <c:smooth val="0"/>
          <c:extLst>
            <c:ext xmlns:c16="http://schemas.microsoft.com/office/drawing/2014/chart" uri="{C3380CC4-5D6E-409C-BE32-E72D297353CC}">
              <c16:uniqueId val="{00000002-4731-48C3-86C7-C23DF9D6709E}"/>
            </c:ext>
          </c:extLst>
        </c:ser>
        <c:dLbls>
          <c:showLegendKey val="0"/>
          <c:showVal val="0"/>
          <c:showCatName val="0"/>
          <c:showSerName val="0"/>
          <c:showPercent val="0"/>
          <c:showBubbleSize val="0"/>
        </c:dLbls>
        <c:marker val="1"/>
        <c:smooth val="0"/>
        <c:axId val="1912434079"/>
        <c:axId val="1039778975"/>
      </c:lineChart>
      <c:catAx>
        <c:axId val="104208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71151647"/>
        <c:crosses val="autoZero"/>
        <c:auto val="1"/>
        <c:lblAlgn val="ctr"/>
        <c:lblOffset val="100"/>
        <c:noMultiLvlLbl val="0"/>
      </c:catAx>
      <c:valAx>
        <c:axId val="771151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42082607"/>
        <c:crosses val="autoZero"/>
        <c:crossBetween val="between"/>
      </c:valAx>
      <c:valAx>
        <c:axId val="1039778975"/>
        <c:scaling>
          <c:orientation val="minMax"/>
          <c:max val="170"/>
          <c:min val="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2434079"/>
        <c:crosses val="max"/>
        <c:crossBetween val="between"/>
      </c:valAx>
      <c:catAx>
        <c:axId val="1912434079"/>
        <c:scaling>
          <c:orientation val="minMax"/>
        </c:scaling>
        <c:delete val="1"/>
        <c:axPos val="b"/>
        <c:numFmt formatCode="General" sourceLinked="1"/>
        <c:majorTickMark val="none"/>
        <c:minorTickMark val="none"/>
        <c:tickLblPos val="nextTo"/>
        <c:crossAx val="10397789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91549031758552E-2"/>
          <c:y val="5.0925925925925923E-2"/>
          <c:w val="0.90299305748393988"/>
          <c:h val="0.54109142607174099"/>
        </c:manualLayout>
      </c:layout>
      <c:barChart>
        <c:barDir val="col"/>
        <c:grouping val="percentStacked"/>
        <c:varyColors val="0"/>
        <c:ser>
          <c:idx val="3"/>
          <c:order val="0"/>
          <c:tx>
            <c:strRef>
              <c:f>АФР!$B$3</c:f>
              <c:strCache>
                <c:ptCount val="1"/>
                <c:pt idx="0">
                  <c:v>Прочие займы, млрд тг,</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АФР!$H$3:$Q$3</c:f>
              <c:numCache>
                <c:formatCode>_-* #\ ##0_-;\-* #\ ##0_-;_-* "-"??_-;_-@_-</c:formatCode>
                <c:ptCount val="10"/>
                <c:pt idx="0">
                  <c:v>188.69999999999891</c:v>
                </c:pt>
                <c:pt idx="1">
                  <c:v>471.79999999999927</c:v>
                </c:pt>
                <c:pt idx="2">
                  <c:v>274.20000000000073</c:v>
                </c:pt>
                <c:pt idx="3">
                  <c:v>345.29999999999927</c:v>
                </c:pt>
                <c:pt idx="4">
                  <c:v>582.30000000000109</c:v>
                </c:pt>
                <c:pt idx="5">
                  <c:v>964.50000000000045</c:v>
                </c:pt>
                <c:pt idx="6">
                  <c:v>337.70000000000073</c:v>
                </c:pt>
                <c:pt idx="7">
                  <c:v>683.39999999999964</c:v>
                </c:pt>
                <c:pt idx="8">
                  <c:v>468.90000000000055</c:v>
                </c:pt>
                <c:pt idx="9">
                  <c:v>421.99999999999818</c:v>
                </c:pt>
              </c:numCache>
            </c:numRef>
          </c:val>
          <c:extLst>
            <c:ext xmlns:c16="http://schemas.microsoft.com/office/drawing/2014/chart" uri="{C3380CC4-5D6E-409C-BE32-E72D297353CC}">
              <c16:uniqueId val="{00000000-3F5D-4DE0-8A53-1A28F974EB58}"/>
            </c:ext>
          </c:extLst>
        </c:ser>
        <c:ser>
          <c:idx val="0"/>
          <c:order val="1"/>
          <c:tx>
            <c:strRef>
              <c:f>АФР!$B$4</c:f>
              <c:strCache>
                <c:ptCount val="1"/>
                <c:pt idx="0">
                  <c:v>Займы ЮЛ, млрд тг</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АФР!$H$4:$Q$4</c:f>
              <c:numCache>
                <c:formatCode>_-* #\ ##0_-;\-* #\ ##0_-;_-* "-"??_-;_-@_-</c:formatCode>
                <c:ptCount val="10"/>
                <c:pt idx="0">
                  <c:v>6553.5</c:v>
                </c:pt>
                <c:pt idx="1">
                  <c:v>4195.1000000000004</c:v>
                </c:pt>
                <c:pt idx="2">
                  <c:v>3928</c:v>
                </c:pt>
                <c:pt idx="3">
                  <c:v>4105.3</c:v>
                </c:pt>
                <c:pt idx="4">
                  <c:v>3838.8</c:v>
                </c:pt>
                <c:pt idx="5">
                  <c:v>3709.6</c:v>
                </c:pt>
                <c:pt idx="6">
                  <c:v>4354</c:v>
                </c:pt>
                <c:pt idx="7">
                  <c:v>4821.1000000000004</c:v>
                </c:pt>
                <c:pt idx="8">
                  <c:v>5376.3</c:v>
                </c:pt>
                <c:pt idx="9">
                  <c:v>6380.1</c:v>
                </c:pt>
              </c:numCache>
            </c:numRef>
          </c:val>
          <c:extLst>
            <c:ext xmlns:c16="http://schemas.microsoft.com/office/drawing/2014/chart" uri="{C3380CC4-5D6E-409C-BE32-E72D297353CC}">
              <c16:uniqueId val="{00000001-3F5D-4DE0-8A53-1A28F974EB58}"/>
            </c:ext>
          </c:extLst>
        </c:ser>
        <c:ser>
          <c:idx val="1"/>
          <c:order val="2"/>
          <c:tx>
            <c:strRef>
              <c:f>АФР!$B$5</c:f>
              <c:strCache>
                <c:ptCount val="1"/>
                <c:pt idx="0">
                  <c:v>Займы ФЛ млрд тг.</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АФР!$H$5:$Q$5</c:f>
              <c:numCache>
                <c:formatCode>_-* #\ ##0_-;\-* #\ ##0_-;_-* "-"??_-;_-@_-</c:formatCode>
                <c:ptCount val="10"/>
                <c:pt idx="0">
                  <c:v>3766.6</c:v>
                </c:pt>
                <c:pt idx="1">
                  <c:v>4259.1000000000004</c:v>
                </c:pt>
                <c:pt idx="2">
                  <c:v>4993.3999999999996</c:v>
                </c:pt>
                <c:pt idx="3">
                  <c:v>6329.5</c:v>
                </c:pt>
                <c:pt idx="4">
                  <c:v>7124.8</c:v>
                </c:pt>
                <c:pt idx="5">
                  <c:v>10038.700000000001</c:v>
                </c:pt>
                <c:pt idx="6">
                  <c:v>13182.5</c:v>
                </c:pt>
                <c:pt idx="7">
                  <c:v>16698.2</c:v>
                </c:pt>
                <c:pt idx="8">
                  <c:v>20679.099999999999</c:v>
                </c:pt>
                <c:pt idx="9">
                  <c:v>21721.7</c:v>
                </c:pt>
              </c:numCache>
            </c:numRef>
          </c:val>
          <c:extLst>
            <c:ext xmlns:c16="http://schemas.microsoft.com/office/drawing/2014/chart" uri="{C3380CC4-5D6E-409C-BE32-E72D297353CC}">
              <c16:uniqueId val="{00000002-3F5D-4DE0-8A53-1A28F974EB58}"/>
            </c:ext>
          </c:extLst>
        </c:ser>
        <c:ser>
          <c:idx val="2"/>
          <c:order val="3"/>
          <c:tx>
            <c:strRef>
              <c:f>АФР!$B$6</c:f>
              <c:strCache>
                <c:ptCount val="1"/>
                <c:pt idx="0">
                  <c:v>Займы МСБ, млрд тг,</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АФР!$H$6:$Q$6</c:f>
              <c:numCache>
                <c:formatCode>_-* #\ ##0_-;\-* #\ ##0_-;_-* "-"??_-;_-@_-</c:formatCode>
                <c:ptCount val="10"/>
                <c:pt idx="0">
                  <c:v>5002</c:v>
                </c:pt>
                <c:pt idx="1">
                  <c:v>4664.5</c:v>
                </c:pt>
                <c:pt idx="2">
                  <c:v>4567.1000000000004</c:v>
                </c:pt>
                <c:pt idx="3">
                  <c:v>3962.9</c:v>
                </c:pt>
                <c:pt idx="4">
                  <c:v>4246.2</c:v>
                </c:pt>
                <c:pt idx="5">
                  <c:v>5487.6</c:v>
                </c:pt>
                <c:pt idx="6">
                  <c:v>6380.5</c:v>
                </c:pt>
                <c:pt idx="7">
                  <c:v>7651</c:v>
                </c:pt>
                <c:pt idx="8">
                  <c:v>9307.2000000000007</c:v>
                </c:pt>
                <c:pt idx="9">
                  <c:v>8702.2999999999993</c:v>
                </c:pt>
              </c:numCache>
            </c:numRef>
          </c:val>
          <c:extLst>
            <c:ext xmlns:c16="http://schemas.microsoft.com/office/drawing/2014/chart" uri="{C3380CC4-5D6E-409C-BE32-E72D297353CC}">
              <c16:uniqueId val="{00000003-3F5D-4DE0-8A53-1A28F974EB58}"/>
            </c:ext>
          </c:extLst>
        </c:ser>
        <c:dLbls>
          <c:showLegendKey val="0"/>
          <c:showVal val="0"/>
          <c:showCatName val="0"/>
          <c:showSerName val="0"/>
          <c:showPercent val="0"/>
          <c:showBubbleSize val="0"/>
        </c:dLbls>
        <c:gapWidth val="50"/>
        <c:overlap val="100"/>
        <c:axId val="1435023055"/>
        <c:axId val="1435018479"/>
      </c:barChart>
      <c:catAx>
        <c:axId val="143502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018479"/>
        <c:crosses val="autoZero"/>
        <c:auto val="1"/>
        <c:lblAlgn val="ctr"/>
        <c:lblOffset val="100"/>
        <c:noMultiLvlLbl val="0"/>
      </c:catAx>
      <c:valAx>
        <c:axId val="14350184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02305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 sz="1000" b="1"/>
              <a:t>Share in total loan portfolio of STBs</a:t>
            </a:r>
            <a:endParaRPr lang="ru-RU"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Лист1!$A$11</c:f>
              <c:strCache>
                <c:ptCount val="1"/>
                <c:pt idx="0">
                  <c:v>Доля кредитов ФЛ</c:v>
                </c:pt>
              </c:strCache>
            </c:strRef>
          </c:tx>
          <c:spPr>
            <a:ln w="28575" cap="rnd">
              <a:solidFill>
                <a:srgbClr val="0070C0"/>
              </a:solidFill>
              <a:round/>
            </a:ln>
            <a:effectLst/>
          </c:spPr>
          <c:marker>
            <c:symbol val="circle"/>
            <c:size val="5"/>
            <c:spPr>
              <a:solidFill>
                <a:schemeClr val="accent1"/>
              </a:solidFill>
              <a:ln w="9525">
                <a:solidFill>
                  <a:srgbClr val="0070C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4-402B-8B6C-FE3D045ADFD4}"/>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64-402B-8B6C-FE3D045ADFD4}"/>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64-402B-8B6C-FE3D045ADFD4}"/>
                </c:ext>
              </c:extLst>
            </c:dLbl>
            <c:spPr>
              <a:solidFill>
                <a:srgbClr val="0070C0"/>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Лист1!$B$10:$L$10</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01.05.2025 г.</c:v>
                </c:pt>
              </c:strCache>
            </c:strRef>
          </c:cat>
          <c:val>
            <c:numRef>
              <c:f>Лист1!$B$11:$L$11</c:f>
              <c:numCache>
                <c:formatCode>0.0%</c:formatCode>
                <c:ptCount val="11"/>
                <c:pt idx="0">
                  <c:v>0.24899704256139901</c:v>
                </c:pt>
                <c:pt idx="1">
                  <c:v>0.24283411772290631</c:v>
                </c:pt>
                <c:pt idx="2">
                  <c:v>0.31337649915385185</c:v>
                </c:pt>
                <c:pt idx="3">
                  <c:v>0.36281334011480054</c:v>
                </c:pt>
                <c:pt idx="4">
                  <c:v>0.429351512684846</c:v>
                </c:pt>
                <c:pt idx="5">
                  <c:v>0.4511622900057623</c:v>
                </c:pt>
                <c:pt idx="6">
                  <c:v>0.49695550583156767</c:v>
                </c:pt>
                <c:pt idx="7">
                  <c:v>0.54350290871459961</c:v>
                </c:pt>
                <c:pt idx="8">
                  <c:v>0.55933435386568497</c:v>
                </c:pt>
                <c:pt idx="9">
                  <c:v>0.57712068989576204</c:v>
                </c:pt>
                <c:pt idx="10">
                  <c:v>0.58350727043660233</c:v>
                </c:pt>
              </c:numCache>
            </c:numRef>
          </c:val>
          <c:smooth val="0"/>
          <c:extLst>
            <c:ext xmlns:c16="http://schemas.microsoft.com/office/drawing/2014/chart" uri="{C3380CC4-5D6E-409C-BE32-E72D297353CC}">
              <c16:uniqueId val="{00000003-9A64-402B-8B6C-FE3D045ADFD4}"/>
            </c:ext>
          </c:extLst>
        </c:ser>
        <c:ser>
          <c:idx val="1"/>
          <c:order val="1"/>
          <c:tx>
            <c:strRef>
              <c:f>Лист1!$A$12</c:f>
              <c:strCache>
                <c:ptCount val="1"/>
                <c:pt idx="0">
                  <c:v>Доля кредитов МСБ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64-402B-8B6C-FE3D045ADFD4}"/>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64-402B-8B6C-FE3D045ADFD4}"/>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64-402B-8B6C-FE3D045ADFD4}"/>
                </c:ext>
              </c:extLst>
            </c:dLbl>
            <c:spPr>
              <a:solidFill>
                <a:schemeClr val="accent2"/>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Лист1!$B$10:$L$10</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01.05.2025 г.</c:v>
                </c:pt>
              </c:strCache>
            </c:strRef>
          </c:cat>
          <c:val>
            <c:numRef>
              <c:f>Лист1!$B$12:$L$12</c:f>
              <c:numCache>
                <c:formatCode>0.0%</c:formatCode>
                <c:ptCount val="11"/>
                <c:pt idx="0">
                  <c:v>0.27274013115597273</c:v>
                </c:pt>
                <c:pt idx="1">
                  <c:v>0.32248082006318096</c:v>
                </c:pt>
                <c:pt idx="2">
                  <c:v>0.34320506217349717</c:v>
                </c:pt>
                <c:pt idx="3">
                  <c:v>0.33183898859260336</c:v>
                </c:pt>
                <c:pt idx="4">
                  <c:v>0.26881698548365218</c:v>
                </c:pt>
                <c:pt idx="5">
                  <c:v>0.26888127608107848</c:v>
                </c:pt>
                <c:pt idx="6">
                  <c:v>0.27165798697055504</c:v>
                </c:pt>
                <c:pt idx="7">
                  <c:v>0.26306241676870873</c:v>
                </c:pt>
                <c:pt idx="8">
                  <c:v>0.25628314078321951</c:v>
                </c:pt>
                <c:pt idx="9">
                  <c:v>0.25974910344250174</c:v>
                </c:pt>
                <c:pt idx="10">
                  <c:v>0.23376878050615024</c:v>
                </c:pt>
              </c:numCache>
            </c:numRef>
          </c:val>
          <c:smooth val="0"/>
          <c:extLst>
            <c:ext xmlns:c16="http://schemas.microsoft.com/office/drawing/2014/chart" uri="{C3380CC4-5D6E-409C-BE32-E72D297353CC}">
              <c16:uniqueId val="{00000007-9A64-402B-8B6C-FE3D045ADFD4}"/>
            </c:ext>
          </c:extLst>
        </c:ser>
        <c:dLbls>
          <c:showLegendKey val="0"/>
          <c:showVal val="0"/>
          <c:showCatName val="0"/>
          <c:showSerName val="0"/>
          <c:showPercent val="0"/>
          <c:showBubbleSize val="0"/>
        </c:dLbls>
        <c:marker val="1"/>
        <c:smooth val="0"/>
        <c:axId val="245469359"/>
        <c:axId val="245469839"/>
      </c:lineChart>
      <c:catAx>
        <c:axId val="24546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5469839"/>
        <c:crosses val="autoZero"/>
        <c:auto val="1"/>
        <c:lblAlgn val="ctr"/>
        <c:lblOffset val="100"/>
        <c:noMultiLvlLbl val="0"/>
      </c:catAx>
      <c:valAx>
        <c:axId val="2454698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546935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выпуск!$C$72</c:f>
              <c:strCache>
                <c:ptCount val="1"/>
                <c:pt idx="0">
                  <c:v> Выпуск продукции участниками программ Фонда "Даму" </c:v>
                </c:pt>
              </c:strCache>
            </c:strRef>
          </c:tx>
          <c:spPr>
            <a:solidFill>
              <a:srgbClr val="00B0F0"/>
            </a:solidFill>
            <a:ln>
              <a:noFill/>
            </a:ln>
            <a:effectLst/>
          </c:spPr>
          <c:invertIfNegative val="0"/>
          <c:dLbls>
            <c:dLbl>
              <c:idx val="5"/>
              <c:layout>
                <c:manualLayout>
                  <c:x val="-4.0899795501023245E-3"/>
                  <c:y val="3.7991858887381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DC-4EFE-8B25-F8AACFEE7C31}"/>
                </c:ext>
              </c:extLst>
            </c:dLbl>
            <c:dLbl>
              <c:idx val="6"/>
              <c:layout>
                <c:manualLayout>
                  <c:x val="-1.4996418443802692E-16"/>
                  <c:y val="3.2564450474898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DC-4EFE-8B25-F8AACFEE7C31}"/>
                </c:ext>
              </c:extLst>
            </c:dLbl>
            <c:dLbl>
              <c:idx val="7"/>
              <c:layout>
                <c:manualLayout>
                  <c:x val="-3.4890967786158477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DC-4EFE-8B25-F8AACFEE7C3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выпуск!$D$72:$K$72</c:f>
              <c:numCache>
                <c:formatCode>_-* #\ ##0_-;\-* #\ ##0_-;_-* "-"??_-;_-@_-</c:formatCode>
                <c:ptCount val="8"/>
                <c:pt idx="0">
                  <c:v>5402</c:v>
                </c:pt>
                <c:pt idx="1">
                  <c:v>5471</c:v>
                </c:pt>
                <c:pt idx="2">
                  <c:v>7733</c:v>
                </c:pt>
                <c:pt idx="3">
                  <c:v>12928.845122491</c:v>
                </c:pt>
                <c:pt idx="4">
                  <c:v>17323.938999999998</c:v>
                </c:pt>
                <c:pt idx="5">
                  <c:v>23013.23</c:v>
                </c:pt>
                <c:pt idx="6">
                  <c:v>21500.514999999999</c:v>
                </c:pt>
                <c:pt idx="7">
                  <c:v>25361.786601167001</c:v>
                </c:pt>
              </c:numCache>
            </c:numRef>
          </c:val>
          <c:extLst>
            <c:ext xmlns:c16="http://schemas.microsoft.com/office/drawing/2014/chart" uri="{C3380CC4-5D6E-409C-BE32-E72D297353CC}">
              <c16:uniqueId val="{00000003-1CDC-4EFE-8B25-F8AACFEE7C31}"/>
            </c:ext>
          </c:extLst>
        </c:ser>
        <c:ser>
          <c:idx val="1"/>
          <c:order val="1"/>
          <c:tx>
            <c:strRef>
              <c:f>выпуск!$C$73</c:f>
              <c:strCache>
                <c:ptCount val="1"/>
                <c:pt idx="0">
                  <c:v> Выпуск продукции МСП, млрд тенге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выпуск!$D$73:$K$73</c:f>
              <c:numCache>
                <c:formatCode>_-* #\ ##0_-;\-* #\ ##0_-;_-* "-"??_-;_-@_-</c:formatCode>
                <c:ptCount val="8"/>
                <c:pt idx="0">
                  <c:v>23241.125</c:v>
                </c:pt>
                <c:pt idx="1">
                  <c:v>26473.049000000003</c:v>
                </c:pt>
                <c:pt idx="2">
                  <c:v>32386.959999999999</c:v>
                </c:pt>
                <c:pt idx="3">
                  <c:v>33626.991999999998</c:v>
                </c:pt>
                <c:pt idx="4">
                  <c:v>41952.637000000002</c:v>
                </c:pt>
                <c:pt idx="5">
                  <c:v>59221.488000000005</c:v>
                </c:pt>
                <c:pt idx="6">
                  <c:v>57188.186000000002</c:v>
                </c:pt>
                <c:pt idx="7">
                  <c:v>81920.046000000002</c:v>
                </c:pt>
              </c:numCache>
            </c:numRef>
          </c:val>
          <c:extLst>
            <c:ext xmlns:c16="http://schemas.microsoft.com/office/drawing/2014/chart" uri="{C3380CC4-5D6E-409C-BE32-E72D297353CC}">
              <c16:uniqueId val="{00000004-1CDC-4EFE-8B25-F8AACFEE7C31}"/>
            </c:ext>
          </c:extLst>
        </c:ser>
        <c:dLbls>
          <c:showLegendKey val="0"/>
          <c:showVal val="0"/>
          <c:showCatName val="0"/>
          <c:showSerName val="0"/>
          <c:showPercent val="0"/>
          <c:showBubbleSize val="0"/>
        </c:dLbls>
        <c:gapWidth val="150"/>
        <c:axId val="1829316367"/>
        <c:axId val="1829311567"/>
      </c:barChart>
      <c:lineChart>
        <c:grouping val="standard"/>
        <c:varyColors val="0"/>
        <c:ser>
          <c:idx val="2"/>
          <c:order val="2"/>
          <c:tx>
            <c:strRef>
              <c:f>выпуск!$C$74</c:f>
              <c:strCache>
                <c:ptCount val="1"/>
                <c:pt idx="0">
                  <c:v> Доля участников программ Фонда,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выпуск!$D$74:$K$74</c:f>
              <c:numCache>
                <c:formatCode>_-* #\ ##0.0_-;\-* #\ ##0.0_-;_-* "-"??_-;_-@_-</c:formatCode>
                <c:ptCount val="8"/>
                <c:pt idx="0">
                  <c:v>23.243281037385238</c:v>
                </c:pt>
                <c:pt idx="1">
                  <c:v>20.66630103695271</c:v>
                </c:pt>
                <c:pt idx="2">
                  <c:v>23.876893663375633</c:v>
                </c:pt>
                <c:pt idx="3">
                  <c:v>38.447819306856232</c:v>
                </c:pt>
                <c:pt idx="4">
                  <c:v>41.294040705951332</c:v>
                </c:pt>
                <c:pt idx="5">
                  <c:v>38.859594341837536</c:v>
                </c:pt>
                <c:pt idx="6">
                  <c:v>37.59607797316739</c:v>
                </c:pt>
                <c:pt idx="7">
                  <c:v>30.959194775314213</c:v>
                </c:pt>
              </c:numCache>
            </c:numRef>
          </c:val>
          <c:smooth val="0"/>
          <c:extLst>
            <c:ext xmlns:c16="http://schemas.microsoft.com/office/drawing/2014/chart" uri="{C3380CC4-5D6E-409C-BE32-E72D297353CC}">
              <c16:uniqueId val="{00000005-1CDC-4EFE-8B25-F8AACFEE7C31}"/>
            </c:ext>
          </c:extLst>
        </c:ser>
        <c:dLbls>
          <c:showLegendKey val="0"/>
          <c:showVal val="0"/>
          <c:showCatName val="0"/>
          <c:showSerName val="0"/>
          <c:showPercent val="0"/>
          <c:showBubbleSize val="0"/>
        </c:dLbls>
        <c:marker val="1"/>
        <c:smooth val="0"/>
        <c:axId val="1829313007"/>
        <c:axId val="1829312527"/>
      </c:lineChart>
      <c:catAx>
        <c:axId val="182931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1567"/>
        <c:crosses val="autoZero"/>
        <c:auto val="1"/>
        <c:lblAlgn val="ctr"/>
        <c:lblOffset val="100"/>
        <c:noMultiLvlLbl val="0"/>
      </c:catAx>
      <c:valAx>
        <c:axId val="1829311567"/>
        <c:scaling>
          <c:orientation val="minMax"/>
          <c:max val="85000"/>
          <c:min val="0"/>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6367"/>
        <c:crosses val="autoZero"/>
        <c:crossBetween val="between"/>
      </c:valAx>
      <c:valAx>
        <c:axId val="1829312527"/>
        <c:scaling>
          <c:orientation val="minMax"/>
          <c:max val="11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3007"/>
        <c:crosses val="max"/>
        <c:crossBetween val="between"/>
      </c:valAx>
      <c:catAx>
        <c:axId val="1829313007"/>
        <c:scaling>
          <c:orientation val="minMax"/>
        </c:scaling>
        <c:delete val="1"/>
        <c:axPos val="b"/>
        <c:numFmt formatCode="General" sourceLinked="1"/>
        <c:majorTickMark val="none"/>
        <c:minorTickMark val="none"/>
        <c:tickLblPos val="nextTo"/>
        <c:crossAx val="18293125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explosion val="4"/>
          <c:dPt>
            <c:idx val="0"/>
            <c:bubble3D val="0"/>
            <c:spPr>
              <a:solidFill>
                <a:srgbClr val="0070C0"/>
              </a:solidFill>
              <a:ln w="19050">
                <a:solidFill>
                  <a:schemeClr val="lt1"/>
                </a:solidFill>
              </a:ln>
              <a:effectLst/>
            </c:spPr>
            <c:extLst>
              <c:ext xmlns:c16="http://schemas.microsoft.com/office/drawing/2014/chart" uri="{C3380CC4-5D6E-409C-BE32-E72D297353CC}">
                <c16:uniqueId val="{00000001-19FE-4B7B-A480-B7725874839F}"/>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19FE-4B7B-A480-B7725874839F}"/>
              </c:ext>
            </c:extLst>
          </c:dPt>
          <c:dLbls>
            <c:dLbl>
              <c:idx val="0"/>
              <c:layout>
                <c:manualLayout>
                  <c:x val="-9.4437257438551123E-2"/>
                  <c:y val="5.2757793764988008E-2"/>
                </c:manualLayout>
              </c:layout>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aseline="0"/>
                      <a:t>STB; </a:t>
                    </a:r>
                    <a:fld id="{767B3FF4-64AD-5045-B49A-50806BEFC731}" type="VALUE">
                      <a:rPr lang="en-US" baseline="0"/>
                      <a:pPr>
                        <a:defRPr b="1"/>
                      </a:pPr>
                      <a:t>[ЗНАЧЕНИЕ]</a:t>
                    </a:fld>
                    <a:r>
                      <a:rPr lang="en-US" baseline="0"/>
                      <a:t>; </a:t>
                    </a:r>
                    <a:fld id="{529D35ED-A113-1040-82BA-78A3D80D83A6}" type="PERCENTAGE">
                      <a:rPr lang="en-US" baseline="0"/>
                      <a:pPr>
                        <a:defRPr b="1"/>
                      </a:pPr>
                      <a:t>[ПРОЦЕНТ]</a:t>
                    </a:fld>
                    <a:endParaRPr lang="en-US" baseline="0"/>
                  </a:p>
                </c:rich>
              </c:tx>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7736093143596376"/>
                      <c:h val="0.11362110311750599"/>
                    </c:manualLayout>
                  </c15:layout>
                  <c15:dlblFieldTable/>
                  <c15:showDataLabelsRange val="0"/>
                </c:ext>
                <c:ext xmlns:c16="http://schemas.microsoft.com/office/drawing/2014/chart" uri="{C3380CC4-5D6E-409C-BE32-E72D297353CC}">
                  <c16:uniqueId val="{00000001-19FE-4B7B-A480-B7725874839F}"/>
                </c:ext>
              </c:extLst>
            </c:dLbl>
            <c:dLbl>
              <c:idx val="1"/>
              <c:layout>
                <c:manualLayout>
                  <c:x val="0.16300139552413645"/>
                  <c:y val="-8.1534772182254203E-2"/>
                </c:manualLayout>
              </c:layout>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Damu Fund</a:t>
                    </a:r>
                    <a:r>
                      <a:rPr lang="en-US" baseline="0"/>
                      <a:t>; </a:t>
                    </a:r>
                    <a:fld id="{72071369-65FE-F645-A8B1-08093174872C}" type="VALUE">
                      <a:rPr lang="en-US" baseline="0"/>
                      <a:pPr>
                        <a:defRPr b="1"/>
                      </a:pPr>
                      <a:t>[ЗНАЧЕНИЕ]</a:t>
                    </a:fld>
                    <a:r>
                      <a:rPr lang="en-US" baseline="0"/>
                      <a:t>; </a:t>
                    </a:r>
                    <a:fld id="{747AD746-B806-814D-B5F7-894A0986A5D1}" type="PERCENTAGE">
                      <a:rPr lang="en-US" baseline="0"/>
                      <a:pPr>
                        <a:defRPr b="1"/>
                      </a:pPr>
                      <a:t>[ПРОЦЕНТ]</a:t>
                    </a:fld>
                    <a:endParaRPr lang="en-US" baseline="0"/>
                  </a:p>
                </c:rich>
              </c:tx>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6785242077599292"/>
                      <c:h val="0.11362110311750599"/>
                    </c:manualLayout>
                  </c15:layout>
                  <c15:dlblFieldTable/>
                  <c15:showDataLabelsRange val="0"/>
                </c:ext>
                <c:ext xmlns:c16="http://schemas.microsoft.com/office/drawing/2014/chart" uri="{C3380CC4-5D6E-409C-BE32-E72D297353CC}">
                  <c16:uniqueId val="{00000003-19FE-4B7B-A480-B7725874839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Лист1!$C$11:$C$12</c:f>
              <c:strCache>
                <c:ptCount val="2"/>
                <c:pt idx="0">
                  <c:v>БВУ</c:v>
                </c:pt>
                <c:pt idx="1">
                  <c:v>Фонд "Даму"</c:v>
                </c:pt>
              </c:strCache>
            </c:strRef>
          </c:cat>
          <c:val>
            <c:numRef>
              <c:f>Лист1!$D$11:$D$12</c:f>
              <c:numCache>
                <c:formatCode>_-* #\ ##0_-;\-* #\ ##0_-;_-* "-"??_-;_-@_-</c:formatCode>
                <c:ptCount val="2"/>
                <c:pt idx="0">
                  <c:v>6327.0999999999995</c:v>
                </c:pt>
                <c:pt idx="1">
                  <c:v>2375.1999999999998</c:v>
                </c:pt>
              </c:numCache>
            </c:numRef>
          </c:val>
          <c:extLst>
            <c:ext xmlns:c16="http://schemas.microsoft.com/office/drawing/2014/chart" uri="{C3380CC4-5D6E-409C-BE32-E72D297353CC}">
              <c16:uniqueId val="{00000004-19FE-4B7B-A480-B7725874839F}"/>
            </c:ext>
          </c:extLst>
        </c:ser>
        <c:dLbls>
          <c:showLegendKey val="0"/>
          <c:showVal val="0"/>
          <c:showCatName val="0"/>
          <c:showSerName val="0"/>
          <c:showPercent val="0"/>
          <c:showBubbleSize val="0"/>
          <c:showLeaderLines val="1"/>
        </c:dLbls>
        <c:firstSliceAng val="98"/>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447218396854237E-2"/>
          <c:y val="2.9175055692740721E-2"/>
          <c:w val="0.9729607788967598"/>
          <c:h val="0.80805989533223466"/>
        </c:manualLayout>
      </c:layout>
      <c:barChart>
        <c:barDir val="col"/>
        <c:grouping val="clustered"/>
        <c:varyColors val="0"/>
        <c:ser>
          <c:idx val="1"/>
          <c:order val="1"/>
          <c:tx>
            <c:strRef>
              <c:f>'Основные слайды'!$B$26</c:f>
              <c:strCache>
                <c:ptCount val="1"/>
                <c:pt idx="0">
                  <c:v>Кол-во проектов, ед.</c:v>
                </c:pt>
              </c:strCache>
            </c:strRef>
          </c:tx>
          <c:spPr>
            <a:gradFill>
              <a:gsLst>
                <a:gs pos="0">
                  <a:srgbClr val="0070C0"/>
                </a:gs>
                <a:gs pos="100000">
                  <a:srgbClr val="002060"/>
                </a:gs>
              </a:gsLst>
              <a:lin ang="5400000" scaled="1"/>
            </a:gradFill>
            <a:ln>
              <a:noFill/>
            </a:ln>
            <a:effectLst/>
          </c:spPr>
          <c:invertIfNegative val="0"/>
          <c:dLbls>
            <c:dLbl>
              <c:idx val="0"/>
              <c:layout>
                <c:manualLayout>
                  <c:x val="-2.0449897750511249E-3"/>
                  <c:y val="0.147412566209007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0C-40B6-A33F-1AAAE5EDEEA3}"/>
                </c:ext>
              </c:extLst>
            </c:dLbl>
            <c:dLbl>
              <c:idx val="1"/>
              <c:layout>
                <c:manualLayout>
                  <c:x val="0"/>
                  <c:y val="0.274578204800212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0C-40B6-A33F-1AAAE5EDEEA3}"/>
                </c:ext>
              </c:extLst>
            </c:dLbl>
            <c:dLbl>
              <c:idx val="2"/>
              <c:layout>
                <c:manualLayout>
                  <c:x val="0"/>
                  <c:y val="0.284794527037910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0C-40B6-A33F-1AAAE5EDEEA3}"/>
                </c:ext>
              </c:extLst>
            </c:dLbl>
            <c:dLbl>
              <c:idx val="3"/>
              <c:layout>
                <c:manualLayout>
                  <c:x val="0"/>
                  <c:y val="0.392428058406056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0C-40B6-A33F-1AAAE5EDEEA3}"/>
                </c:ext>
              </c:extLst>
            </c:dLbl>
            <c:dLbl>
              <c:idx val="4"/>
              <c:layout>
                <c:manualLayout>
                  <c:x val="0"/>
                  <c:y val="0.671681779849720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0C-40B6-A33F-1AAAE5EDEEA3}"/>
                </c:ext>
              </c:extLst>
            </c:dLbl>
            <c:dLbl>
              <c:idx val="5"/>
              <c:layout>
                <c:manualLayout>
                  <c:x val="-7.4982092219013458E-17"/>
                  <c:y val="0.5979055686631228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0C-40B6-A33F-1AAAE5EDEEA3}"/>
                </c:ext>
              </c:extLst>
            </c:dLbl>
            <c:dLbl>
              <c:idx val="6"/>
              <c:layout>
                <c:manualLayout>
                  <c:x val="4.0899795501022499E-3"/>
                  <c:y val="0.284967357419672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0C-40B6-A33F-1AAAE5EDEEA3}"/>
                </c:ext>
              </c:extLst>
            </c:dLbl>
            <c:dLbl>
              <c:idx val="7"/>
              <c:layout>
                <c:manualLayout>
                  <c:x val="-1.4996418443802692E-16"/>
                  <c:y val="0.35031657143940031"/>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943754730045248E-2"/>
                      <c:h val="8.0722021660649818E-2"/>
                    </c:manualLayout>
                  </c15:layout>
                </c:ext>
                <c:ext xmlns:c16="http://schemas.microsoft.com/office/drawing/2014/chart" uri="{C3380CC4-5D6E-409C-BE32-E72D297353CC}">
                  <c16:uniqueId val="{00000004-4E0C-40B6-A33F-1AAAE5EDEEA3}"/>
                </c:ext>
              </c:extLst>
            </c:dLbl>
            <c:dLbl>
              <c:idx val="8"/>
              <c:layout>
                <c:manualLayout>
                  <c:x val="-1.4996418443802692E-16"/>
                  <c:y val="7.8255398580592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0C-40B6-A33F-1AAAE5EDEEA3}"/>
                </c:ext>
              </c:extLst>
            </c:dLbl>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слайды'!$L$24:$T$24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слайды'!$L$26:$T$26</c:f>
              <c:numCache>
                <c:formatCode>_-* #\ ##0_-;\-* #\ ##0_-;_-* "-"??_-;_-@_-</c:formatCode>
                <c:ptCount val="9"/>
                <c:pt idx="0">
                  <c:v>11936</c:v>
                </c:pt>
                <c:pt idx="1">
                  <c:v>22952</c:v>
                </c:pt>
                <c:pt idx="2">
                  <c:v>24254</c:v>
                </c:pt>
                <c:pt idx="3">
                  <c:v>33161</c:v>
                </c:pt>
                <c:pt idx="4">
                  <c:v>57352</c:v>
                </c:pt>
                <c:pt idx="5">
                  <c:v>50544</c:v>
                </c:pt>
                <c:pt idx="6">
                  <c:v>23852</c:v>
                </c:pt>
                <c:pt idx="7">
                  <c:v>29513</c:v>
                </c:pt>
                <c:pt idx="8">
                  <c:v>6146</c:v>
                </c:pt>
              </c:numCache>
            </c:numRef>
          </c:val>
          <c:extLst>
            <c:ext xmlns:c16="http://schemas.microsoft.com/office/drawing/2014/chart" uri="{C3380CC4-5D6E-409C-BE32-E72D297353CC}">
              <c16:uniqueId val="{00000001-4E0C-40B6-A33F-1AAAE5EDEEA3}"/>
            </c:ext>
          </c:extLst>
        </c:ser>
        <c:dLbls>
          <c:showLegendKey val="0"/>
          <c:showVal val="0"/>
          <c:showCatName val="0"/>
          <c:showSerName val="0"/>
          <c:showPercent val="0"/>
          <c:showBubbleSize val="0"/>
        </c:dLbls>
        <c:gapWidth val="50"/>
        <c:axId val="1577527311"/>
        <c:axId val="1577526063"/>
      </c:barChart>
      <c:lineChart>
        <c:grouping val="standard"/>
        <c:varyColors val="0"/>
        <c:ser>
          <c:idx val="0"/>
          <c:order val="0"/>
          <c:tx>
            <c:strRef>
              <c:f>'Основные слайды'!$B$25</c:f>
              <c:strCache>
                <c:ptCount val="1"/>
                <c:pt idx="0">
                  <c:v>Сумма кредитов, млрд тг.</c:v>
                </c:pt>
              </c:strCache>
            </c:strRef>
          </c:tx>
          <c:spPr>
            <a:ln w="28575" cap="rnd">
              <a:solidFill>
                <a:schemeClr val="accent5">
                  <a:lumMod val="50000"/>
                </a:schemeClr>
              </a:solidFill>
              <a:round/>
            </a:ln>
            <a:effectLst/>
          </c:spPr>
          <c:marker>
            <c:symbol val="circle"/>
            <c:size val="40"/>
            <c:spPr>
              <a:solidFill>
                <a:schemeClr val="bg1"/>
              </a:solidFill>
              <a:ln w="9525">
                <a:solidFill>
                  <a:schemeClr val="accent5">
                    <a:lumMod val="50000"/>
                  </a:schemeClr>
                </a:solidFill>
              </a:ln>
              <a:effectLst/>
            </c:spPr>
          </c:marker>
          <c:dLbls>
            <c:dLbl>
              <c:idx val="0"/>
              <c:layout>
                <c:manualLayout>
                  <c:x val="-8.2507769350917026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0C-40B6-A33F-1AAAE5EDEEA3}"/>
                </c:ext>
              </c:extLst>
            </c:dLbl>
            <c:dLbl>
              <c:idx val="2"/>
              <c:layout>
                <c:manualLayout>
                  <c:x val="-8.1857237170507066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E0C-40B6-A33F-1AAAE5EDEEA3}"/>
                </c:ext>
              </c:extLst>
            </c:dLbl>
            <c:dLbl>
              <c:idx val="5"/>
              <c:layout>
                <c:manualLayout>
                  <c:x val="-8.7055053701109442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E0C-40B6-A33F-1AAAE5EDEEA3}"/>
                </c:ext>
              </c:extLst>
            </c:dLbl>
            <c:dLbl>
              <c:idx val="6"/>
              <c:layout>
                <c:manualLayout>
                  <c:x val="-9.1145033251211774E-2"/>
                  <c:y val="-4.4123036215520552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E0C-40B6-A33F-1AAAE5EDEEA3}"/>
                </c:ext>
              </c:extLst>
            </c:dLbl>
            <c:dLbl>
              <c:idx val="7"/>
              <c:layout>
                <c:manualLayout>
                  <c:x val="-8.7055053701109442E-2"/>
                  <c:y val="-4.4123036215520552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E0C-40B6-A33F-1AAAE5EDEEA3}"/>
                </c:ext>
              </c:extLst>
            </c:dLbl>
            <c:dLbl>
              <c:idx val="8"/>
              <c:layout>
                <c:manualLayout>
                  <c:x val="-4.1442603416904172E-2"/>
                  <c:y val="-8.8246072431041104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0C-40B6-A33F-1AAAE5EDEEA3}"/>
                </c:ext>
              </c:extLst>
            </c:dLbl>
            <c:spPr>
              <a:noFill/>
              <a:ln>
                <a:noFill/>
              </a:ln>
              <a:effectLst/>
            </c:spPr>
            <c:txPr>
              <a:bodyPr rot="0" spcFirstLastPara="1" vertOverflow="ellipsis" horzOverflow="clip" vert="horz" wrap="square" lIns="0" tIns="18288" rIns="36576" bIns="18288" anchor="ctr" anchorCtr="0">
                <a:spAutoFit/>
              </a:bodyPr>
              <a:lstStyle/>
              <a:p>
                <a:pPr algn="ctr">
                  <a:defRPr sz="1100" b="1" i="0" u="none" strike="noStrike" kern="1200" baseline="0">
                    <a:solidFill>
                      <a:schemeClr val="accent5">
                        <a:lumMod val="50000"/>
                      </a:schemeClr>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слайды'!$L$24:$T$24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слайды'!$L$25:$T$25</c:f>
              <c:numCache>
                <c:formatCode>_-* #\ ##0_-;\-* #\ ##0_-;_-* "-"??_-;_-@_-</c:formatCode>
                <c:ptCount val="9"/>
                <c:pt idx="0">
                  <c:v>548.91200000000003</c:v>
                </c:pt>
                <c:pt idx="1">
                  <c:v>511.41600844988</c:v>
                </c:pt>
                <c:pt idx="2">
                  <c:v>611.4</c:v>
                </c:pt>
                <c:pt idx="3">
                  <c:v>1680.6000410400734</c:v>
                </c:pt>
                <c:pt idx="4">
                  <c:v>2197</c:v>
                </c:pt>
                <c:pt idx="5">
                  <c:v>1553.58396148</c:v>
                </c:pt>
                <c:pt idx="6">
                  <c:v>1566</c:v>
                </c:pt>
                <c:pt idx="7">
                  <c:v>1713</c:v>
                </c:pt>
                <c:pt idx="8">
                  <c:v>788</c:v>
                </c:pt>
              </c:numCache>
            </c:numRef>
          </c:val>
          <c:smooth val="0"/>
          <c:extLst>
            <c:ext xmlns:c16="http://schemas.microsoft.com/office/drawing/2014/chart" uri="{C3380CC4-5D6E-409C-BE32-E72D297353CC}">
              <c16:uniqueId val="{00000002-4E0C-40B6-A33F-1AAAE5EDEEA3}"/>
            </c:ext>
          </c:extLst>
        </c:ser>
        <c:dLbls>
          <c:showLegendKey val="0"/>
          <c:showVal val="0"/>
          <c:showCatName val="0"/>
          <c:showSerName val="0"/>
          <c:showPercent val="0"/>
          <c:showBubbleSize val="0"/>
        </c:dLbls>
        <c:marker val="1"/>
        <c:smooth val="0"/>
        <c:axId val="1577549359"/>
        <c:axId val="1577540207"/>
      </c:lineChart>
      <c:valAx>
        <c:axId val="1577540207"/>
        <c:scaling>
          <c:orientation val="minMax"/>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49359"/>
        <c:crosses val="max"/>
        <c:crossBetween val="between"/>
      </c:valAx>
      <c:catAx>
        <c:axId val="1577549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40207"/>
        <c:crosses val="autoZero"/>
        <c:auto val="1"/>
        <c:lblAlgn val="ctr"/>
        <c:lblOffset val="100"/>
        <c:noMultiLvlLbl val="0"/>
      </c:catAx>
      <c:valAx>
        <c:axId val="1577526063"/>
        <c:scaling>
          <c:orientation val="minMax"/>
        </c:scaling>
        <c:delete val="0"/>
        <c:axPos val="l"/>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27311"/>
        <c:crosses val="autoZero"/>
        <c:crossBetween val="between"/>
      </c:valAx>
      <c:catAx>
        <c:axId val="1577527311"/>
        <c:scaling>
          <c:orientation val="minMax"/>
        </c:scaling>
        <c:delete val="1"/>
        <c:axPos val="b"/>
        <c:numFmt formatCode="General" sourceLinked="1"/>
        <c:majorTickMark val="out"/>
        <c:minorTickMark val="none"/>
        <c:tickLblPos val="nextTo"/>
        <c:crossAx val="1577526063"/>
        <c:crosses val="autoZero"/>
        <c:auto val="1"/>
        <c:lblAlgn val="ctr"/>
        <c:lblOffset val="100"/>
        <c:noMultiLvlLbl val="0"/>
      </c:catAx>
      <c:spPr>
        <a:noFill/>
        <a:ln>
          <a:noFill/>
        </a:ln>
        <a:effectLst/>
      </c:spPr>
    </c:plotArea>
    <c:legend>
      <c:legendPos val="b"/>
      <c:layout>
        <c:manualLayout>
          <c:xMode val="edge"/>
          <c:yMode val="edge"/>
          <c:x val="2.0362784406550424E-2"/>
          <c:y val="0.93410803114131136"/>
          <c:w val="0.96458367550681934"/>
          <c:h val="6.589196885868849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Narrow" panose="020B0606020202030204" pitchFamily="34"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3.4039961013645224E-2"/>
          <c:w val="0.97633807588075883"/>
          <c:h val="0.81168226120857701"/>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0"/>
              <c:layout>
                <c:manualLayout>
                  <c:x val="-4.6863807636883411E-18"/>
                  <c:y val="8.96076765914464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20-424D-9664-9D081062EBD4}"/>
                </c:ext>
              </c:extLst>
            </c:dLbl>
            <c:dLbl>
              <c:idx val="1"/>
              <c:layout>
                <c:manualLayout>
                  <c:x val="0"/>
                  <c:y val="8.9843208374463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20-424D-9664-9D081062EBD4}"/>
                </c:ext>
              </c:extLst>
            </c:dLbl>
            <c:dLbl>
              <c:idx val="2"/>
              <c:layout>
                <c:manualLayout>
                  <c:x val="0"/>
                  <c:y val="0.1059590000229563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20-424D-9664-9D081062EBD4}"/>
                </c:ext>
              </c:extLst>
            </c:dLbl>
            <c:dLbl>
              <c:idx val="3"/>
              <c:layout>
                <c:manualLayout>
                  <c:x val="0"/>
                  <c:y val="0.4757498680011937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20-424D-9664-9D081062EBD4}"/>
                </c:ext>
              </c:extLst>
            </c:dLbl>
            <c:dLbl>
              <c:idx val="4"/>
              <c:layout>
                <c:manualLayout>
                  <c:x val="9.7257781427628301E-5"/>
                  <c:y val="0.754614448704116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20-424D-9664-9D081062EBD4}"/>
                </c:ext>
              </c:extLst>
            </c:dLbl>
            <c:dLbl>
              <c:idx val="5"/>
              <c:layout>
                <c:manualLayout>
                  <c:x val="0"/>
                  <c:y val="0.754614448704116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20-424D-9664-9D081062EBD4}"/>
                </c:ext>
              </c:extLst>
            </c:dLbl>
            <c:dLbl>
              <c:idx val="6"/>
              <c:layout>
                <c:manualLayout>
                  <c:x val="0"/>
                  <c:y val="0.402698285163334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20-424D-9664-9D081062EBD4}"/>
                </c:ext>
              </c:extLst>
            </c:dLbl>
            <c:dLbl>
              <c:idx val="7"/>
              <c:layout>
                <c:manualLayout>
                  <c:x val="0"/>
                  <c:y val="0.567657308142604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20-424D-9664-9D081062EBD4}"/>
                </c:ext>
              </c:extLst>
            </c:dLbl>
            <c:dLbl>
              <c:idx val="8"/>
              <c:layout>
                <c:manualLayout>
                  <c:x val="0"/>
                  <c:y val="9.50327127476412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20-424D-9664-9D081062EBD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слайды'!$X$4:$AF$4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слайды'!$X$5:$AF$5</c:f>
              <c:numCache>
                <c:formatCode>_-* #\ ##0_-;\-* #\ ##0_-;_-* "-"??_-;_-@_-</c:formatCode>
                <c:ptCount val="9"/>
                <c:pt idx="0">
                  <c:v>2310</c:v>
                </c:pt>
                <c:pt idx="1">
                  <c:v>1944</c:v>
                </c:pt>
                <c:pt idx="2">
                  <c:v>2647</c:v>
                </c:pt>
                <c:pt idx="3">
                  <c:v>14679</c:v>
                </c:pt>
                <c:pt idx="4">
                  <c:v>32351</c:v>
                </c:pt>
                <c:pt idx="5">
                  <c:v>24485</c:v>
                </c:pt>
                <c:pt idx="6">
                  <c:v>12339</c:v>
                </c:pt>
                <c:pt idx="7">
                  <c:v>17623</c:v>
                </c:pt>
                <c:pt idx="8">
                  <c:v>2297</c:v>
                </c:pt>
              </c:numCache>
            </c:numRef>
          </c:val>
          <c:extLst>
            <c:ext xmlns:c16="http://schemas.microsoft.com/office/drawing/2014/chart" uri="{C3380CC4-5D6E-409C-BE32-E72D297353CC}">
              <c16:uniqueId val="{00000000-6720-424D-9664-9D081062EBD4}"/>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horzOverflow="clip"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слайды'!$X$4:$AF$4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слайды'!$X$6:$AF$6</c:f>
              <c:numCache>
                <c:formatCode>_-* #\ ##0_-;\-* #\ ##0_-;_-* "-"??_-;_-@_-</c:formatCode>
                <c:ptCount val="9"/>
                <c:pt idx="0">
                  <c:v>278.71925156663997</c:v>
                </c:pt>
                <c:pt idx="1">
                  <c:v>198.45487860721013</c:v>
                </c:pt>
                <c:pt idx="2">
                  <c:v>266.84352246992</c:v>
                </c:pt>
                <c:pt idx="3">
                  <c:v>1210.3504492460229</c:v>
                </c:pt>
                <c:pt idx="4">
                  <c:v>1587.1779417443147</c:v>
                </c:pt>
                <c:pt idx="5">
                  <c:v>992.56215479191997</c:v>
                </c:pt>
                <c:pt idx="6">
                  <c:v>1005</c:v>
                </c:pt>
                <c:pt idx="7">
                  <c:v>1014</c:v>
                </c:pt>
                <c:pt idx="8">
                  <c:v>302.8</c:v>
                </c:pt>
              </c:numCache>
            </c:numRef>
          </c:val>
          <c:smooth val="0"/>
          <c:extLst>
            <c:ext xmlns:c16="http://schemas.microsoft.com/office/drawing/2014/chart" uri="{C3380CC4-5D6E-409C-BE32-E72D297353CC}">
              <c16:uniqueId val="{00000001-6720-424D-9664-9D081062EBD4}"/>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26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65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ayout>
        <c:manualLayout>
          <c:xMode val="edge"/>
          <c:yMode val="edge"/>
          <c:x val="3.7048451765615185E-2"/>
          <c:y val="0.93255957542752088"/>
          <c:w val="0.95657778207171973"/>
          <c:h val="6.71252436647173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Narrow" panose="020B0606020202030204" pitchFamily="34"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3.4039961013645224E-2"/>
          <c:w val="0.97633807588075883"/>
          <c:h val="0.81168226120857701"/>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0"/>
              <c:layout>
                <c:manualLayout>
                  <c:x val="-4.6863807636883411E-18"/>
                  <c:y val="8.72818721927541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7-4A21-9B4B-00149D06C536}"/>
                </c:ext>
              </c:extLst>
            </c:dLbl>
            <c:dLbl>
              <c:idx val="1"/>
              <c:layout>
                <c:manualLayout>
                  <c:x val="0"/>
                  <c:y val="0.1043982472902184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07-4A21-9B4B-00149D06C536}"/>
                </c:ext>
              </c:extLst>
            </c:dLbl>
            <c:dLbl>
              <c:idx val="2"/>
              <c:layout>
                <c:manualLayout>
                  <c:x val="0"/>
                  <c:y val="0.137271000120800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07-4A21-9B4B-00149D06C536}"/>
                </c:ext>
              </c:extLst>
            </c:dLbl>
            <c:dLbl>
              <c:idx val="3"/>
              <c:layout>
                <c:manualLayout>
                  <c:x val="-7.4982092219013458E-17"/>
                  <c:y val="0.347992839807158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07-4A21-9B4B-00149D06C536}"/>
                </c:ext>
              </c:extLst>
            </c:dLbl>
            <c:dLbl>
              <c:idx val="4"/>
              <c:layout>
                <c:manualLayout>
                  <c:x val="0"/>
                  <c:y val="0.75297422550214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7-4A21-9B4B-00149D06C536}"/>
                </c:ext>
              </c:extLst>
            </c:dLbl>
            <c:dLbl>
              <c:idx val="5"/>
              <c:layout>
                <c:manualLayout>
                  <c:x val="9.7257781427628301E-5"/>
                  <c:y val="0.75297422550214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7-4A21-9B4B-00149D06C536}"/>
                </c:ext>
              </c:extLst>
            </c:dLbl>
            <c:dLbl>
              <c:idx val="6"/>
              <c:layout>
                <c:manualLayout>
                  <c:x val="0"/>
                  <c:y val="0.3857362808728406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7-4A21-9B4B-00149D06C536}"/>
                </c:ext>
              </c:extLst>
            </c:dLbl>
            <c:dLbl>
              <c:idx val="7"/>
              <c:layout>
                <c:manualLayout>
                  <c:x val="0"/>
                  <c:y val="0.4192209446622519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7-4A21-9B4B-00149D06C536}"/>
                </c:ext>
              </c:extLst>
            </c:dLbl>
            <c:dLbl>
              <c:idx val="8"/>
              <c:layout>
                <c:manualLayout>
                  <c:x val="0"/>
                  <c:y val="0.147146794935151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07-4A21-9B4B-00149D06C53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слайды'!$AK$4:$AS$4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слайды'!$AK$5:$AS$5</c:f>
              <c:numCache>
                <c:formatCode>_-* #\ ##0_-;\-* #\ ##0_-;_-* "-"??_-;_-@_-</c:formatCode>
                <c:ptCount val="9"/>
                <c:pt idx="0">
                  <c:v>1317</c:v>
                </c:pt>
                <c:pt idx="1">
                  <c:v>1944</c:v>
                </c:pt>
                <c:pt idx="2">
                  <c:v>2673</c:v>
                </c:pt>
                <c:pt idx="3">
                  <c:v>7346</c:v>
                </c:pt>
                <c:pt idx="4">
                  <c:v>17219</c:v>
                </c:pt>
                <c:pt idx="5">
                  <c:v>20781</c:v>
                </c:pt>
                <c:pt idx="6">
                  <c:v>8183</c:v>
                </c:pt>
                <c:pt idx="7">
                  <c:v>9173</c:v>
                </c:pt>
                <c:pt idx="8">
                  <c:v>2892</c:v>
                </c:pt>
              </c:numCache>
            </c:numRef>
          </c:val>
          <c:extLst>
            <c:ext xmlns:c16="http://schemas.microsoft.com/office/drawing/2014/chart" uri="{C3380CC4-5D6E-409C-BE32-E72D297353CC}">
              <c16:uniqueId val="{00000009-E307-4A21-9B4B-00149D06C536}"/>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слайды'!$AK$4:$AS$4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слайды'!$AK$6:$AS$6</c:f>
              <c:numCache>
                <c:formatCode>_-* #\ ##0_-;\-* #\ ##0_-;_-* "-"??_-;_-@_-</c:formatCode>
                <c:ptCount val="9"/>
                <c:pt idx="0">
                  <c:v>42.845626561000003</c:v>
                </c:pt>
                <c:pt idx="1">
                  <c:v>65.347913710520018</c:v>
                </c:pt>
                <c:pt idx="2">
                  <c:v>102.75971016787</c:v>
                </c:pt>
                <c:pt idx="3">
                  <c:v>275.52996973750999</c:v>
                </c:pt>
                <c:pt idx="4">
                  <c:v>365.28602078891004</c:v>
                </c:pt>
                <c:pt idx="5">
                  <c:v>377.56875272184999</c:v>
                </c:pt>
                <c:pt idx="6">
                  <c:v>363</c:v>
                </c:pt>
                <c:pt idx="7">
                  <c:v>445</c:v>
                </c:pt>
                <c:pt idx="8">
                  <c:v>394.2</c:v>
                </c:pt>
              </c:numCache>
            </c:numRef>
          </c:val>
          <c:smooth val="0"/>
          <c:extLst>
            <c:ext xmlns:c16="http://schemas.microsoft.com/office/drawing/2014/chart" uri="{C3380CC4-5D6E-409C-BE32-E72D297353CC}">
              <c16:uniqueId val="{0000000A-E307-4A21-9B4B-00149D06C536}"/>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18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30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Entry>
      <c:layout>
        <c:manualLayout>
          <c:xMode val="edge"/>
          <c:yMode val="edge"/>
          <c:x val="2.8868492665410701E-2"/>
          <c:y val="0.92668567251461997"/>
          <c:w val="0.95248780252161747"/>
          <c:h val="6.71252436647173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tx1"/>
          </a:solidFill>
          <a:latin typeface="Arial Narrow" panose="020B0606020202030204" pitchFamily="34"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6.9663200496884459E-2"/>
          <c:w val="0.97633807588075883"/>
          <c:h val="0.77605898499328807"/>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8"/>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E2-48B3-92C1-75D8DD6BFA7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слайды'!$AZ$4:$BH$4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слайды'!$AZ$5:$BH$5</c:f>
              <c:numCache>
                <c:formatCode>_-* #\ ##0_-;\-* #\ ##0_-;_-* "-"??_-;_-@_-</c:formatCode>
                <c:ptCount val="9"/>
                <c:pt idx="0">
                  <c:v>8296</c:v>
                </c:pt>
                <c:pt idx="1">
                  <c:v>18637</c:v>
                </c:pt>
                <c:pt idx="2">
                  <c:v>18971</c:v>
                </c:pt>
                <c:pt idx="3">
                  <c:v>11136</c:v>
                </c:pt>
                <c:pt idx="4">
                  <c:v>7782</c:v>
                </c:pt>
                <c:pt idx="5">
                  <c:v>5279</c:v>
                </c:pt>
                <c:pt idx="6">
                  <c:v>3330</c:v>
                </c:pt>
                <c:pt idx="7">
                  <c:v>2717</c:v>
                </c:pt>
                <c:pt idx="8">
                  <c:v>957</c:v>
                </c:pt>
              </c:numCache>
            </c:numRef>
          </c:val>
          <c:extLst>
            <c:ext xmlns:c16="http://schemas.microsoft.com/office/drawing/2014/chart" uri="{C3380CC4-5D6E-409C-BE32-E72D297353CC}">
              <c16:uniqueId val="{00000001-C7E2-48B3-92C1-75D8DD6BFA7C}"/>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слайды'!$AZ$4:$BH$4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слайды'!$AZ$6:$BH$6</c:f>
              <c:numCache>
                <c:formatCode>_-* #\ ##0_-;\-* #\ ##0_-;_-* "-"??_-;_-@_-</c:formatCode>
                <c:ptCount val="9"/>
                <c:pt idx="0">
                  <c:v>231</c:v>
                </c:pt>
                <c:pt idx="1">
                  <c:v>273</c:v>
                </c:pt>
                <c:pt idx="2">
                  <c:v>245</c:v>
                </c:pt>
                <c:pt idx="3">
                  <c:v>208</c:v>
                </c:pt>
                <c:pt idx="4">
                  <c:v>213</c:v>
                </c:pt>
                <c:pt idx="5">
                  <c:v>184</c:v>
                </c:pt>
                <c:pt idx="6">
                  <c:v>198</c:v>
                </c:pt>
                <c:pt idx="7">
                  <c:v>254</c:v>
                </c:pt>
                <c:pt idx="8">
                  <c:v>91</c:v>
                </c:pt>
              </c:numCache>
            </c:numRef>
          </c:val>
          <c:smooth val="0"/>
          <c:extLst>
            <c:ext xmlns:c16="http://schemas.microsoft.com/office/drawing/2014/chart" uri="{C3380CC4-5D6E-409C-BE32-E72D297353CC}">
              <c16:uniqueId val="{00000002-C7E2-48B3-92C1-75D8DD6BFA7C}"/>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26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65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ayout>
        <c:manualLayout>
          <c:xMode val="edge"/>
          <c:yMode val="edge"/>
          <c:x val="2.0688533565206203E-2"/>
          <c:y val="0.92668567251461997"/>
          <c:w val="0.96271275139687296"/>
          <c:h val="7.331428845784521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tx1"/>
          </a:solidFill>
          <a:latin typeface="Arial Narrow" panose="020B0606020202030204" pitchFamily="34"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Количество проверенных проектов за 2015-2024 гг.</a:t>
            </a:r>
          </a:p>
        </c:rich>
      </c:tx>
      <c:layout>
        <c:manualLayout>
          <c:xMode val="edge"/>
          <c:yMode val="edge"/>
          <c:x val="0.14829807891975014"/>
          <c:y val="4.329004329004328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Лист1!$C$62:$L$62</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Лист1!$C$63:$L$63</c:f>
              <c:numCache>
                <c:formatCode>#,##0</c:formatCode>
                <c:ptCount val="10"/>
                <c:pt idx="0">
                  <c:v>3978</c:v>
                </c:pt>
                <c:pt idx="1">
                  <c:v>5595</c:v>
                </c:pt>
                <c:pt idx="2">
                  <c:v>7454</c:v>
                </c:pt>
                <c:pt idx="3">
                  <c:v>6863</c:v>
                </c:pt>
                <c:pt idx="4">
                  <c:v>9052</c:v>
                </c:pt>
                <c:pt idx="5">
                  <c:v>8411</c:v>
                </c:pt>
                <c:pt idx="6">
                  <c:v>10649</c:v>
                </c:pt>
                <c:pt idx="7">
                  <c:v>11505</c:v>
                </c:pt>
                <c:pt idx="8">
                  <c:v>12044</c:v>
                </c:pt>
                <c:pt idx="9">
                  <c:v>12901</c:v>
                </c:pt>
              </c:numCache>
            </c:numRef>
          </c:val>
          <c:extLst>
            <c:ext xmlns:c16="http://schemas.microsoft.com/office/drawing/2014/chart" uri="{C3380CC4-5D6E-409C-BE32-E72D297353CC}">
              <c16:uniqueId val="{00000000-17A9-4913-91A9-2B5815A9BD95}"/>
            </c:ext>
          </c:extLst>
        </c:ser>
        <c:dLbls>
          <c:showLegendKey val="0"/>
          <c:showVal val="0"/>
          <c:showCatName val="0"/>
          <c:showSerName val="0"/>
          <c:showPercent val="0"/>
          <c:showBubbleSize val="0"/>
        </c:dLbls>
        <c:gapWidth val="219"/>
        <c:overlap val="-27"/>
        <c:axId val="613184352"/>
        <c:axId val="613162752"/>
      </c:barChart>
      <c:catAx>
        <c:axId val="6131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ru-RU"/>
          </a:p>
        </c:txPr>
        <c:crossAx val="613162752"/>
        <c:crosses val="autoZero"/>
        <c:auto val="1"/>
        <c:lblAlgn val="ctr"/>
        <c:lblOffset val="100"/>
        <c:noMultiLvlLbl val="0"/>
      </c:catAx>
      <c:valAx>
        <c:axId val="613162752"/>
        <c:scaling>
          <c:orientation val="minMax"/>
        </c:scaling>
        <c:delete val="1"/>
        <c:axPos val="l"/>
        <c:numFmt formatCode="#,##0" sourceLinked="1"/>
        <c:majorTickMark val="none"/>
        <c:minorTickMark val="none"/>
        <c:tickLblPos val="nextTo"/>
        <c:crossAx val="613184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'то чего нету'!$B$2</c:f>
              <c:strCache>
                <c:ptCount val="1"/>
                <c:pt idx="0">
                  <c:v>Действующие субъекты СП, тыс. ед.</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нету'!$C$2:$L$2</c:f>
              <c:numCache>
                <c:formatCode>_-* #\ ##0.0\ _₽_-;\-* #\ ##0.0\ _₽_-;_-* "-"??\ _₽_-;_-@_-</c:formatCode>
                <c:ptCount val="10"/>
                <c:pt idx="0">
                  <c:v>2.9</c:v>
                </c:pt>
                <c:pt idx="1">
                  <c:v>2.7</c:v>
                </c:pt>
                <c:pt idx="2">
                  <c:v>2.6</c:v>
                </c:pt>
                <c:pt idx="3">
                  <c:v>2.6</c:v>
                </c:pt>
                <c:pt idx="4">
                  <c:v>2.5</c:v>
                </c:pt>
                <c:pt idx="5">
                  <c:v>2.5</c:v>
                </c:pt>
                <c:pt idx="6">
                  <c:v>2.8</c:v>
                </c:pt>
                <c:pt idx="7">
                  <c:v>2.9</c:v>
                </c:pt>
                <c:pt idx="8">
                  <c:v>2.9</c:v>
                </c:pt>
                <c:pt idx="9">
                  <c:v>3</c:v>
                </c:pt>
              </c:numCache>
            </c:numRef>
          </c:val>
          <c:extLst>
            <c:ext xmlns:c16="http://schemas.microsoft.com/office/drawing/2014/chart" uri="{C3380CC4-5D6E-409C-BE32-E72D297353CC}">
              <c16:uniqueId val="{00000000-34CE-4635-A9BF-2971D3146F76}"/>
            </c:ext>
          </c:extLst>
        </c:ser>
        <c:ser>
          <c:idx val="1"/>
          <c:order val="1"/>
          <c:tx>
            <c:strRef>
              <c:f>'то чего нету'!$B$3</c:f>
              <c:strCache>
                <c:ptCount val="1"/>
                <c:pt idx="0">
                  <c:v>Итого действующие ММСП, тыс. ед.</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нету'!$C$3:$L$3</c:f>
              <c:numCache>
                <c:formatCode>_-* #\ ##0.0\ _₽_-;\-* #\ ##0.0\ _₽_-;_-* "-"??\ _₽_-;_-@_-</c:formatCode>
                <c:ptCount val="10"/>
                <c:pt idx="0">
                  <c:v>1242.5999999999999</c:v>
                </c:pt>
                <c:pt idx="1">
                  <c:v>1106.4000000000001</c:v>
                </c:pt>
                <c:pt idx="2">
                  <c:v>1146</c:v>
                </c:pt>
                <c:pt idx="3">
                  <c:v>1241.3</c:v>
                </c:pt>
                <c:pt idx="4">
                  <c:v>1330.2</c:v>
                </c:pt>
                <c:pt idx="5">
                  <c:v>1357.3</c:v>
                </c:pt>
                <c:pt idx="6">
                  <c:v>1431.6</c:v>
                </c:pt>
                <c:pt idx="7">
                  <c:v>1818.8</c:v>
                </c:pt>
                <c:pt idx="8">
                  <c:v>2002.2</c:v>
                </c:pt>
                <c:pt idx="9">
                  <c:v>2109.4</c:v>
                </c:pt>
              </c:numCache>
            </c:numRef>
          </c:val>
          <c:extLst>
            <c:ext xmlns:c16="http://schemas.microsoft.com/office/drawing/2014/chart" uri="{C3380CC4-5D6E-409C-BE32-E72D297353CC}">
              <c16:uniqueId val="{00000001-34CE-4635-A9BF-2971D3146F76}"/>
            </c:ext>
          </c:extLst>
        </c:ser>
        <c:dLbls>
          <c:showLegendKey val="0"/>
          <c:showVal val="0"/>
          <c:showCatName val="0"/>
          <c:showSerName val="0"/>
          <c:showPercent val="0"/>
          <c:showBubbleSize val="0"/>
        </c:dLbls>
        <c:gapWidth val="50"/>
        <c:overlap val="-15"/>
        <c:axId val="854883872"/>
        <c:axId val="854876672"/>
      </c:barChart>
      <c:lineChart>
        <c:grouping val="standard"/>
        <c:varyColors val="0"/>
        <c:ser>
          <c:idx val="2"/>
          <c:order val="2"/>
          <c:tx>
            <c:strRef>
              <c:f>'то чего нету'!$B$4</c:f>
              <c:strCache>
                <c:ptCount val="1"/>
                <c:pt idx="0">
                  <c:v>Доля СП, %</c:v>
                </c:pt>
              </c:strCache>
            </c:strRef>
          </c:tx>
          <c:spPr>
            <a:ln w="28575" cap="rnd">
              <a:solidFill>
                <a:srgbClr val="C00000"/>
              </a:solidFill>
              <a:round/>
            </a:ln>
            <a:effectLst/>
          </c:spPr>
          <c:marker>
            <c:symbol val="none"/>
          </c:marker>
          <c:dLbls>
            <c:spPr>
              <a:solidFill>
                <a:srgbClr val="C0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нету'!$C$4:$L$4</c:f>
              <c:numCache>
                <c:formatCode>0.00%</c:formatCode>
                <c:ptCount val="10"/>
                <c:pt idx="0">
                  <c:v>2.3338161918557863E-3</c:v>
                </c:pt>
                <c:pt idx="1">
                  <c:v>2.4403470715835141E-3</c:v>
                </c:pt>
                <c:pt idx="2">
                  <c:v>2.2687609075043632E-3</c:v>
                </c:pt>
                <c:pt idx="3">
                  <c:v>2.0945782647224685E-3</c:v>
                </c:pt>
                <c:pt idx="4">
                  <c:v>1.879416629078334E-3</c:v>
                </c:pt>
                <c:pt idx="5">
                  <c:v>1.8418919914536213E-3</c:v>
                </c:pt>
                <c:pt idx="6">
                  <c:v>1.9558535903883767E-3</c:v>
                </c:pt>
                <c:pt idx="7">
                  <c:v>1.5944578843193314E-3</c:v>
                </c:pt>
                <c:pt idx="8">
                  <c:v>1.4484067525721706E-3</c:v>
                </c:pt>
                <c:pt idx="9">
                  <c:v>1.4222053664549161E-3</c:v>
                </c:pt>
              </c:numCache>
            </c:numRef>
          </c:val>
          <c:smooth val="0"/>
          <c:extLst>
            <c:ext xmlns:c16="http://schemas.microsoft.com/office/drawing/2014/chart" uri="{C3380CC4-5D6E-409C-BE32-E72D297353CC}">
              <c16:uniqueId val="{00000002-34CE-4635-A9BF-2971D3146F76}"/>
            </c:ext>
          </c:extLst>
        </c:ser>
        <c:dLbls>
          <c:showLegendKey val="0"/>
          <c:showVal val="0"/>
          <c:showCatName val="0"/>
          <c:showSerName val="0"/>
          <c:showPercent val="0"/>
          <c:showBubbleSize val="0"/>
        </c:dLbls>
        <c:marker val="1"/>
        <c:smooth val="0"/>
        <c:axId val="854879072"/>
        <c:axId val="854888192"/>
      </c:lineChart>
      <c:catAx>
        <c:axId val="85488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76672"/>
        <c:crosses val="autoZero"/>
        <c:auto val="1"/>
        <c:lblAlgn val="ctr"/>
        <c:lblOffset val="100"/>
        <c:noMultiLvlLbl val="0"/>
      </c:catAx>
      <c:valAx>
        <c:axId val="854876672"/>
        <c:scaling>
          <c:orientation val="minMax"/>
        </c:scaling>
        <c:delete val="0"/>
        <c:axPos val="l"/>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83872"/>
        <c:crosses val="autoZero"/>
        <c:crossBetween val="between"/>
      </c:valAx>
      <c:valAx>
        <c:axId val="85488819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79072"/>
        <c:crosses val="max"/>
        <c:crossBetween val="between"/>
      </c:valAx>
      <c:catAx>
        <c:axId val="854879072"/>
        <c:scaling>
          <c:orientation val="minMax"/>
        </c:scaling>
        <c:delete val="1"/>
        <c:axPos val="b"/>
        <c:numFmt formatCode="General" sourceLinked="1"/>
        <c:majorTickMark val="none"/>
        <c:minorTickMark val="none"/>
        <c:tickLblPos val="nextTo"/>
        <c:crossAx val="8548881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73156300882309"/>
          <c:y val="7.9395699545581747E-2"/>
          <c:w val="0.48726170145151032"/>
          <c:h val="0.85810460533638788"/>
        </c:manualLayout>
      </c:layout>
      <c:doughnutChart>
        <c:varyColors val="1"/>
        <c:ser>
          <c:idx val="0"/>
          <c:order val="0"/>
          <c:spPr>
            <a:ln>
              <a:solidFill>
                <a:schemeClr val="bg1"/>
              </a:solidFill>
            </a:ln>
          </c:spPr>
          <c:dPt>
            <c:idx val="0"/>
            <c:bubble3D val="0"/>
            <c:spPr>
              <a:gradFill>
                <a:gsLst>
                  <a:gs pos="100000">
                    <a:schemeClr val="accent5">
                      <a:lumMod val="40000"/>
                      <a:lumOff val="60000"/>
                    </a:schemeClr>
                  </a:gs>
                  <a:gs pos="75000">
                    <a:srgbClr val="0070C0"/>
                  </a:gs>
                  <a:gs pos="100000">
                    <a:schemeClr val="bg1"/>
                  </a:gs>
                </a:gsLst>
                <a:lin ang="5400000" scaled="1"/>
              </a:gradFill>
              <a:ln w="19050">
                <a:solidFill>
                  <a:srgbClr val="0070C0"/>
                </a:solidFill>
              </a:ln>
              <a:effectLst/>
            </c:spPr>
            <c:extLst>
              <c:ext xmlns:c16="http://schemas.microsoft.com/office/drawing/2014/chart" uri="{C3380CC4-5D6E-409C-BE32-E72D297353CC}">
                <c16:uniqueId val="{00000001-3A90-47A4-9178-EBDA92A471A8}"/>
              </c:ext>
            </c:extLst>
          </c:dPt>
          <c:dPt>
            <c:idx val="1"/>
            <c:bubble3D val="0"/>
            <c:spPr>
              <a:gradFill>
                <a:gsLst>
                  <a:gs pos="100000">
                    <a:schemeClr val="accent5">
                      <a:lumMod val="40000"/>
                      <a:lumOff val="60000"/>
                    </a:schemeClr>
                  </a:gs>
                  <a:gs pos="75000">
                    <a:schemeClr val="accent6"/>
                  </a:gs>
                  <a:gs pos="100000">
                    <a:schemeClr val="bg1"/>
                  </a:gs>
                </a:gsLst>
                <a:lin ang="5400000" scaled="1"/>
              </a:gradFill>
              <a:ln w="19050">
                <a:solidFill>
                  <a:schemeClr val="accent6"/>
                </a:solidFill>
              </a:ln>
              <a:effectLst/>
            </c:spPr>
            <c:extLst>
              <c:ext xmlns:c16="http://schemas.microsoft.com/office/drawing/2014/chart" uri="{C3380CC4-5D6E-409C-BE32-E72D297353CC}">
                <c16:uniqueId val="{00000003-3A90-47A4-9178-EBDA92A471A8}"/>
              </c:ext>
            </c:extLst>
          </c:dPt>
          <c:dPt>
            <c:idx val="2"/>
            <c:bubble3D val="0"/>
            <c:spPr>
              <a:gradFill>
                <a:gsLst>
                  <a:gs pos="100000">
                    <a:schemeClr val="accent5">
                      <a:lumMod val="40000"/>
                      <a:lumOff val="60000"/>
                    </a:schemeClr>
                  </a:gs>
                  <a:gs pos="75000">
                    <a:schemeClr val="accent2"/>
                  </a:gs>
                  <a:gs pos="100000">
                    <a:schemeClr val="bg1"/>
                  </a:gs>
                </a:gsLst>
                <a:lin ang="5400000" scaled="1"/>
              </a:gradFill>
              <a:ln w="19050">
                <a:solidFill>
                  <a:schemeClr val="accent2"/>
                </a:solidFill>
              </a:ln>
              <a:effectLst/>
            </c:spPr>
            <c:extLst>
              <c:ext xmlns:c16="http://schemas.microsoft.com/office/drawing/2014/chart" uri="{C3380CC4-5D6E-409C-BE32-E72D297353CC}">
                <c16:uniqueId val="{00000005-3A90-47A4-9178-EBDA92A471A8}"/>
              </c:ext>
            </c:extLst>
          </c:dPt>
          <c:dPt>
            <c:idx val="3"/>
            <c:bubble3D val="0"/>
            <c:spPr>
              <a:gradFill>
                <a:gsLst>
                  <a:gs pos="100000">
                    <a:schemeClr val="accent5">
                      <a:lumMod val="40000"/>
                      <a:lumOff val="60000"/>
                    </a:schemeClr>
                  </a:gs>
                  <a:gs pos="75000">
                    <a:schemeClr val="accent4"/>
                  </a:gs>
                  <a:gs pos="100000">
                    <a:schemeClr val="bg1"/>
                  </a:gs>
                </a:gsLst>
                <a:lin ang="5400000" scaled="1"/>
              </a:gradFill>
              <a:ln w="19050">
                <a:solidFill>
                  <a:schemeClr val="accent4"/>
                </a:solidFill>
              </a:ln>
              <a:effectLst/>
            </c:spPr>
            <c:extLst>
              <c:ext xmlns:c16="http://schemas.microsoft.com/office/drawing/2014/chart" uri="{C3380CC4-5D6E-409C-BE32-E72D297353CC}">
                <c16:uniqueId val="{00000007-3A90-47A4-9178-EBDA92A471A8}"/>
              </c:ext>
            </c:extLst>
          </c:dPt>
          <c:dLbls>
            <c:dLbl>
              <c:idx val="0"/>
              <c:tx>
                <c:rich>
                  <a:bodyPr/>
                  <a:lstStyle/>
                  <a:p>
                    <a:r>
                      <a:rPr lang="en-US"/>
                      <a:t>1 490; 70,6%</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A90-47A4-9178-EBDA92A471A8}"/>
                </c:ext>
              </c:extLst>
            </c:dLbl>
            <c:dLbl>
              <c:idx val="1"/>
              <c:tx>
                <c:rich>
                  <a:bodyPr/>
                  <a:lstStyle/>
                  <a:p>
                    <a:r>
                      <a:rPr lang="en-US"/>
                      <a:t>361; 17,1%</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A90-47A4-9178-EBDA92A471A8}"/>
                </c:ext>
              </c:extLst>
            </c:dLbl>
            <c:dLbl>
              <c:idx val="2"/>
              <c:layout>
                <c:manualLayout>
                  <c:x val="-6.3960934474288911E-3"/>
                  <c:y val="1.1264002951700911E-2"/>
                </c:manualLayout>
              </c:layout>
              <c:tx>
                <c:rich>
                  <a:bodyPr/>
                  <a:lstStyle/>
                  <a:p>
                    <a:r>
                      <a:rPr lang="en-US"/>
                      <a:t>255; 12,1%</a:t>
                    </a:r>
                  </a:p>
                </c:rich>
              </c:tx>
              <c:showLegendKey val="0"/>
              <c:showVal val="1"/>
              <c:showCatName val="0"/>
              <c:showSerName val="0"/>
              <c:showPercent val="1"/>
              <c:showBubbleSize val="0"/>
              <c:extLst>
                <c:ext xmlns:c15="http://schemas.microsoft.com/office/drawing/2012/chart" uri="{CE6537A1-D6FC-4f65-9D91-7224C49458BB}">
                  <c15:layout>
                    <c:manualLayout>
                      <c:w val="0.1527067310573649"/>
                      <c:h val="0.17642266796335737"/>
                    </c:manualLayout>
                  </c15:layout>
                </c:ext>
                <c:ext xmlns:c16="http://schemas.microsoft.com/office/drawing/2014/chart" uri="{C3380CC4-5D6E-409C-BE32-E72D297353CC}">
                  <c16:uniqueId val="{00000005-3A90-47A4-9178-EBDA92A471A8}"/>
                </c:ext>
              </c:extLst>
            </c:dLbl>
            <c:dLbl>
              <c:idx val="3"/>
              <c:layout>
                <c:manualLayout>
                  <c:x val="3.1980467237144481E-3"/>
                  <c:y val="-0.12953603394456073"/>
                </c:manualLayout>
              </c:layout>
              <c:tx>
                <c:rich>
                  <a:bodyPr/>
                  <a:lstStyle/>
                  <a:p>
                    <a:r>
                      <a:rPr lang="en-US"/>
                      <a:t>3,0</a:t>
                    </a:r>
                    <a:r>
                      <a:rPr lang="en-US" baseline="0"/>
                      <a:t>; 0,2%</a:t>
                    </a:r>
                    <a:endParaRPr lang="en-US"/>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A90-47A4-9178-EBDA92A471A8}"/>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количество!$F$7:$I$7</c:f>
              <c:strCache>
                <c:ptCount val="4"/>
                <c:pt idx="0">
                  <c:v>ИП, тыс. ед.</c:v>
                </c:pt>
                <c:pt idx="1">
                  <c:v>ЮЛ МП, тыс. ед.</c:v>
                </c:pt>
                <c:pt idx="2">
                  <c:v>КХ/ФХ, тыс. ед.</c:v>
                </c:pt>
                <c:pt idx="3">
                  <c:v>ЮЛ СП, тыс. ед.</c:v>
                </c:pt>
              </c:strCache>
            </c:strRef>
          </c:cat>
          <c:val>
            <c:numRef>
              <c:f>количество!$F$8:$I$8</c:f>
              <c:numCache>
                <c:formatCode>_-* #\ ##0.0_-;\-* #\ ##0.0_-;_-* "-"??_-;_-@_-</c:formatCode>
                <c:ptCount val="4"/>
                <c:pt idx="0">
                  <c:v>1403.8910000000001</c:v>
                </c:pt>
                <c:pt idx="1">
                  <c:v>356.52300000000002</c:v>
                </c:pt>
                <c:pt idx="2">
                  <c:v>272.858</c:v>
                </c:pt>
                <c:pt idx="3">
                  <c:v>2.8090000000000002</c:v>
                </c:pt>
              </c:numCache>
            </c:numRef>
          </c:val>
          <c:extLst>
            <c:ext xmlns:c16="http://schemas.microsoft.com/office/drawing/2014/chart" uri="{C3380CC4-5D6E-409C-BE32-E72D297353CC}">
              <c16:uniqueId val="{00000008-3A90-47A4-9178-EBDA92A471A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8387300440773071"/>
          <c:y val="0.26231801747527639"/>
          <c:w val="0.34403806028141803"/>
          <c:h val="0.489223697515120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7503417490185E-2"/>
          <c:y val="5.7011751685050273E-2"/>
          <c:w val="0.81691513718411679"/>
          <c:h val="0.62515487444355389"/>
        </c:manualLayout>
      </c:layout>
      <c:barChart>
        <c:barDir val="col"/>
        <c:grouping val="clustered"/>
        <c:varyColors val="0"/>
        <c:ser>
          <c:idx val="0"/>
          <c:order val="0"/>
          <c:tx>
            <c:strRef>
              <c:f>занятость!$B$77</c:f>
              <c:strCache>
                <c:ptCount val="1"/>
                <c:pt idx="0">
                  <c:v> Численность занятых в МСП, тыс. чел. </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занятость!$C$77:$J$77</c:f>
              <c:numCache>
                <c:formatCode>_-* #\ ##0_-;\-* #\ ##0_-;_-* "-"??_-;_-@_-</c:formatCode>
                <c:ptCount val="8"/>
                <c:pt idx="0">
                  <c:v>3190</c:v>
                </c:pt>
                <c:pt idx="1">
                  <c:v>3312</c:v>
                </c:pt>
                <c:pt idx="2">
                  <c:v>3449</c:v>
                </c:pt>
                <c:pt idx="3">
                  <c:v>3473</c:v>
                </c:pt>
                <c:pt idx="4">
                  <c:v>3512</c:v>
                </c:pt>
                <c:pt idx="5">
                  <c:v>4110</c:v>
                </c:pt>
                <c:pt idx="6">
                  <c:v>4326</c:v>
                </c:pt>
                <c:pt idx="7">
                  <c:v>4422</c:v>
                </c:pt>
              </c:numCache>
            </c:numRef>
          </c:val>
          <c:extLst>
            <c:ext xmlns:c16="http://schemas.microsoft.com/office/drawing/2014/chart" uri="{C3380CC4-5D6E-409C-BE32-E72D297353CC}">
              <c16:uniqueId val="{00000000-F0D6-4CC7-941E-F02AEAFF1CB6}"/>
            </c:ext>
          </c:extLst>
        </c:ser>
        <c:ser>
          <c:idx val="1"/>
          <c:order val="1"/>
          <c:tx>
            <c:strRef>
              <c:f>занятость!$B$78</c:f>
              <c:strCache>
                <c:ptCount val="1"/>
                <c:pt idx="0">
                  <c:v> Занятое население в экономике, тыс. чел.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занятость!$C$78:$J$78</c:f>
              <c:numCache>
                <c:formatCode>_-* #\ ##0_-;\-* #\ ##0_-;_-* "-"??_-;_-@_-</c:formatCode>
                <c:ptCount val="8"/>
                <c:pt idx="0">
                  <c:v>8585</c:v>
                </c:pt>
                <c:pt idx="1">
                  <c:v>8695</c:v>
                </c:pt>
                <c:pt idx="2">
                  <c:v>8781</c:v>
                </c:pt>
                <c:pt idx="3">
                  <c:v>8732</c:v>
                </c:pt>
                <c:pt idx="4">
                  <c:v>8807</c:v>
                </c:pt>
                <c:pt idx="5">
                  <c:v>8972</c:v>
                </c:pt>
                <c:pt idx="6">
                  <c:v>9082</c:v>
                </c:pt>
                <c:pt idx="7">
                  <c:v>9214</c:v>
                </c:pt>
              </c:numCache>
            </c:numRef>
          </c:val>
          <c:extLst>
            <c:ext xmlns:c16="http://schemas.microsoft.com/office/drawing/2014/chart" uri="{C3380CC4-5D6E-409C-BE32-E72D297353CC}">
              <c16:uniqueId val="{00000001-F0D6-4CC7-941E-F02AEAFF1CB6}"/>
            </c:ext>
          </c:extLst>
        </c:ser>
        <c:dLbls>
          <c:showLegendKey val="0"/>
          <c:showVal val="0"/>
          <c:showCatName val="0"/>
          <c:showSerName val="0"/>
          <c:showPercent val="0"/>
          <c:showBubbleSize val="0"/>
        </c:dLbls>
        <c:gapWidth val="50"/>
        <c:axId val="1435697695"/>
        <c:axId val="1435703455"/>
      </c:barChart>
      <c:lineChart>
        <c:grouping val="standard"/>
        <c:varyColors val="0"/>
        <c:ser>
          <c:idx val="2"/>
          <c:order val="2"/>
          <c:tx>
            <c:strRef>
              <c:f>занятость!$B$79</c:f>
              <c:strCache>
                <c:ptCount val="1"/>
                <c:pt idx="0">
                  <c:v> Доля МСП в обеспечении занятости населения,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занятость!$C$79:$J$79</c:f>
              <c:numCache>
                <c:formatCode>_-* #\ ##0.0_-;\-* #\ ##0.0_-;_-* "-"??_-;_-@_-</c:formatCode>
                <c:ptCount val="8"/>
                <c:pt idx="0">
                  <c:v>37.157833430401865</c:v>
                </c:pt>
                <c:pt idx="1">
                  <c:v>38.090856814261073</c:v>
                </c:pt>
                <c:pt idx="2">
                  <c:v>39.277986561894998</c:v>
                </c:pt>
                <c:pt idx="3">
                  <c:v>39.773247824095279</c:v>
                </c:pt>
                <c:pt idx="4">
                  <c:v>39.877370273645965</c:v>
                </c:pt>
                <c:pt idx="5">
                  <c:v>45.809184128399465</c:v>
                </c:pt>
                <c:pt idx="6">
                  <c:v>47.632680026425902</c:v>
                </c:pt>
                <c:pt idx="7">
                  <c:v>47.992185804210983</c:v>
                </c:pt>
              </c:numCache>
            </c:numRef>
          </c:val>
          <c:smooth val="0"/>
          <c:extLst>
            <c:ext xmlns:c16="http://schemas.microsoft.com/office/drawing/2014/chart" uri="{C3380CC4-5D6E-409C-BE32-E72D297353CC}">
              <c16:uniqueId val="{00000002-F0D6-4CC7-941E-F02AEAFF1CB6}"/>
            </c:ext>
          </c:extLst>
        </c:ser>
        <c:dLbls>
          <c:showLegendKey val="0"/>
          <c:showVal val="0"/>
          <c:showCatName val="0"/>
          <c:showSerName val="0"/>
          <c:showPercent val="0"/>
          <c:showBubbleSize val="0"/>
        </c:dLbls>
        <c:marker val="1"/>
        <c:smooth val="0"/>
        <c:axId val="1435699615"/>
        <c:axId val="1435704415"/>
      </c:lineChart>
      <c:catAx>
        <c:axId val="143569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703455"/>
        <c:crosses val="autoZero"/>
        <c:auto val="1"/>
        <c:lblAlgn val="ctr"/>
        <c:lblOffset val="100"/>
        <c:noMultiLvlLbl val="0"/>
      </c:catAx>
      <c:valAx>
        <c:axId val="1435703455"/>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697695"/>
        <c:crosses val="autoZero"/>
        <c:crossBetween val="between"/>
        <c:majorUnit val="2000"/>
      </c:valAx>
      <c:valAx>
        <c:axId val="1435704415"/>
        <c:scaling>
          <c:orientation val="minMax"/>
          <c:max val="7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699615"/>
        <c:crosses val="max"/>
        <c:crossBetween val="between"/>
      </c:valAx>
      <c:catAx>
        <c:axId val="1435699615"/>
        <c:scaling>
          <c:orientation val="minMax"/>
        </c:scaling>
        <c:delete val="1"/>
        <c:axPos val="b"/>
        <c:numFmt formatCode="General" sourceLinked="1"/>
        <c:majorTickMark val="none"/>
        <c:minorTickMark val="none"/>
        <c:tickLblPos val="nextTo"/>
        <c:crossAx val="1435704415"/>
        <c:crosses val="autoZero"/>
        <c:auto val="1"/>
        <c:lblAlgn val="ctr"/>
        <c:lblOffset val="100"/>
        <c:noMultiLvlLbl val="0"/>
      </c:catAx>
      <c:spPr>
        <a:noFill/>
        <a:ln>
          <a:noFill/>
        </a:ln>
        <a:effectLst/>
      </c:spPr>
    </c:plotArea>
    <c:legend>
      <c:legendPos val="b"/>
      <c:layout>
        <c:manualLayout>
          <c:xMode val="edge"/>
          <c:yMode val="edge"/>
          <c:x val="4.7042114420753726E-2"/>
          <c:y val="0.7661204094725208"/>
          <c:w val="0.91045692996925243"/>
          <c:h val="0.2027822714265425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нету'!$B$28:$B$45</c:f>
              <c:strCache>
                <c:ptCount val="18"/>
                <c:pt idx="0">
                  <c:v>Электроснабжение</c:v>
                </c:pt>
                <c:pt idx="1">
                  <c:v>Водоснабжение</c:v>
                </c:pt>
                <c:pt idx="2">
                  <c:v>Фин. и страх. деят.</c:v>
                </c:pt>
                <c:pt idx="3">
                  <c:v>Искусство и развл.</c:v>
                </c:pt>
                <c:pt idx="4">
                  <c:v>Горнодобывающая пром.</c:v>
                </c:pt>
                <c:pt idx="5">
                  <c:v>Медицина</c:v>
                </c:pt>
                <c:pt idx="6">
                  <c:v>Информация и связь</c:v>
                </c:pt>
                <c:pt idx="7">
                  <c:v>Проф., науч.и тех. деят.</c:v>
                </c:pt>
                <c:pt idx="8">
                  <c:v>Туризм</c:v>
                </c:pt>
                <c:pt idx="9">
                  <c:v>Образование</c:v>
                </c:pt>
                <c:pt idx="10">
                  <c:v>Операции с недвиж. им.</c:v>
                </c:pt>
                <c:pt idx="11">
                  <c:v>Адм.обслуживание</c:v>
                </c:pt>
                <c:pt idx="12">
                  <c:v>Транспорт и склад.</c:v>
                </c:pt>
                <c:pt idx="13">
                  <c:v>Строительство</c:v>
                </c:pt>
                <c:pt idx="14">
                  <c:v>Обрабатывающая пром.</c:v>
                </c:pt>
                <c:pt idx="15">
                  <c:v>Прочие виды услуг</c:v>
                </c:pt>
                <c:pt idx="16">
                  <c:v>Сельское хоз.</c:v>
                </c:pt>
                <c:pt idx="17">
                  <c:v>Торговля</c:v>
                </c:pt>
              </c:strCache>
            </c:strRef>
          </c:cat>
          <c:val>
            <c:numRef>
              <c:f>'то чего нету'!$C$28:$C$45</c:f>
              <c:numCache>
                <c:formatCode>_-* #\ ##0.0\ _₽_-;\-* #\ ##0.0\ _₽_-;_-* "-"??\ _₽_-;_-@_-</c:formatCode>
                <c:ptCount val="18"/>
                <c:pt idx="0">
                  <c:v>16.463000000000001</c:v>
                </c:pt>
                <c:pt idx="1">
                  <c:v>22.356000000000002</c:v>
                </c:pt>
                <c:pt idx="2">
                  <c:v>25.131</c:v>
                </c:pt>
                <c:pt idx="3">
                  <c:v>40.762</c:v>
                </c:pt>
                <c:pt idx="4">
                  <c:v>43.616999999999997</c:v>
                </c:pt>
                <c:pt idx="5">
                  <c:v>91.168999999999997</c:v>
                </c:pt>
                <c:pt idx="6">
                  <c:v>97.391000000000005</c:v>
                </c:pt>
                <c:pt idx="7">
                  <c:v>156.19200000000001</c:v>
                </c:pt>
                <c:pt idx="8">
                  <c:v>160.79</c:v>
                </c:pt>
                <c:pt idx="9">
                  <c:v>171.196</c:v>
                </c:pt>
                <c:pt idx="10">
                  <c:v>206.852</c:v>
                </c:pt>
                <c:pt idx="11">
                  <c:v>209.553</c:v>
                </c:pt>
                <c:pt idx="12">
                  <c:v>261.99700000000001</c:v>
                </c:pt>
                <c:pt idx="13">
                  <c:v>352.34699999999998</c:v>
                </c:pt>
                <c:pt idx="14">
                  <c:v>378.24200000000002</c:v>
                </c:pt>
                <c:pt idx="15">
                  <c:v>390.23099999999999</c:v>
                </c:pt>
                <c:pt idx="16">
                  <c:v>465.05399999999997</c:v>
                </c:pt>
                <c:pt idx="17">
                  <c:v>1332.7149999999999</c:v>
                </c:pt>
              </c:numCache>
            </c:numRef>
          </c:val>
          <c:extLst>
            <c:ext xmlns:c16="http://schemas.microsoft.com/office/drawing/2014/chart" uri="{C3380CC4-5D6E-409C-BE32-E72D297353CC}">
              <c16:uniqueId val="{00000000-9E9D-4835-9309-66BA990714D1}"/>
            </c:ext>
          </c:extLst>
        </c:ser>
        <c:dLbls>
          <c:showLegendKey val="0"/>
          <c:showVal val="0"/>
          <c:showCatName val="0"/>
          <c:showSerName val="0"/>
          <c:showPercent val="0"/>
          <c:showBubbleSize val="0"/>
        </c:dLbls>
        <c:gapWidth val="50"/>
        <c:axId val="1721236880"/>
        <c:axId val="1721233520"/>
      </c:barChart>
      <c:catAx>
        <c:axId val="172123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21233520"/>
        <c:crosses val="autoZero"/>
        <c:auto val="1"/>
        <c:lblAlgn val="ctr"/>
        <c:lblOffset val="100"/>
        <c:tickLblSkip val="1"/>
        <c:noMultiLvlLbl val="0"/>
      </c:catAx>
      <c:valAx>
        <c:axId val="1721233520"/>
        <c:scaling>
          <c:orientation val="minMax"/>
        </c:scaling>
        <c:delete val="1"/>
        <c:axPos val="b"/>
        <c:numFmt formatCode="_-* #\ ##0.0\ _₽_-;\-* #\ ##0.0\ _₽_-;_-* &quot;-&quot;??\ _₽_-;_-@_-" sourceLinked="1"/>
        <c:majorTickMark val="none"/>
        <c:minorTickMark val="none"/>
        <c:tickLblPos val="nextTo"/>
        <c:crossAx val="172123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000828538816751E-2"/>
          <c:y val="0.18270030566243339"/>
          <c:w val="0.60898649136747818"/>
          <c:h val="0.67295494005237522"/>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9B3-4BBA-8EC3-9E5F3CAD983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9B3-4BBA-8EC3-9E5F3CAD983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9B3-4BBA-8EC3-9E5F3CAD983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9B3-4BBA-8EC3-9E5F3CAD983C}"/>
              </c:ext>
            </c:extLst>
          </c:dPt>
          <c:dLbls>
            <c:dLbl>
              <c:idx val="0"/>
              <c:tx>
                <c:rich>
                  <a:bodyPr/>
                  <a:lstStyle/>
                  <a:p>
                    <a:r>
                      <a:rPr lang="en-US"/>
                      <a:t>1 770 </a:t>
                    </a:r>
                  </a:p>
                  <a:p>
                    <a:r>
                      <a:rPr lang="en-US"/>
                      <a:t>  40%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B3-4BBA-8EC3-9E5F3CAD983C}"/>
                </c:ext>
              </c:extLst>
            </c:dLbl>
            <c:dLbl>
              <c:idx val="1"/>
              <c:tx>
                <c:rich>
                  <a:bodyPr/>
                  <a:lstStyle/>
                  <a:p>
                    <a:r>
                      <a:rPr lang="en-US"/>
                      <a:t>1 910</a:t>
                    </a:r>
                  </a:p>
                  <a:p>
                    <a:r>
                      <a:rPr lang="en-US"/>
                      <a:t> 43%</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B3-4BBA-8EC3-9E5F3CAD983C}"/>
                </c:ext>
              </c:extLst>
            </c:dLbl>
            <c:dLbl>
              <c:idx val="2"/>
              <c:tx>
                <c:rich>
                  <a:bodyPr/>
                  <a:lstStyle/>
                  <a:p>
                    <a:r>
                      <a:rPr lang="en-US" b="1"/>
                      <a:t>404</a:t>
                    </a:r>
                    <a:endParaRPr lang="en-US" b="0" baseline="0" dirty="0"/>
                  </a:p>
                  <a:p>
                    <a:r>
                      <a:rPr lang="en-US" baseline="0" dirty="0"/>
                      <a:t>   </a:t>
                    </a:r>
                    <a:fld id="{C44B9DC9-3412-4079-81A2-FBB12BFF7C5E}" type="PERCENTAGE">
                      <a:rPr lang="en-US" baseline="0" smtClean="0"/>
                      <a:pPr/>
                      <a:t>[ПРОЦЕНТ]</a:t>
                    </a:fld>
                    <a:endParaRPr lang="en-US" baseline="0" dirty="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B3-4BBA-8EC3-9E5F3CAD983C}"/>
                </c:ext>
              </c:extLst>
            </c:dLbl>
            <c:dLbl>
              <c:idx val="3"/>
              <c:tx>
                <c:rich>
                  <a:bodyPr/>
                  <a:lstStyle/>
                  <a:p>
                    <a:r>
                      <a:rPr lang="en-US" b="1">
                        <a:solidFill>
                          <a:schemeClr val="tx1"/>
                        </a:solidFill>
                        <a:latin typeface="KZ Domain Display Black"/>
                      </a:rPr>
                      <a:t>338</a:t>
                    </a:r>
                    <a:endParaRPr lang="en-US" b="1" baseline="0" dirty="0">
                      <a:solidFill>
                        <a:schemeClr val="tx1"/>
                      </a:solidFill>
                      <a:latin typeface="KZ Domain Display Black"/>
                    </a:endParaRPr>
                  </a:p>
                  <a:p>
                    <a:r>
                      <a:rPr lang="en-US" b="1" baseline="0" dirty="0">
                        <a:solidFill>
                          <a:schemeClr val="tx1"/>
                        </a:solidFill>
                        <a:latin typeface="KZ Domain Display Black"/>
                      </a:rPr>
                      <a:t> </a:t>
                    </a:r>
                    <a:fld id="{EFB9F82A-3E98-493E-909B-E3D45E1C26AE}" type="PERCENTAGE">
                      <a:rPr lang="en-US" b="1" baseline="0">
                        <a:solidFill>
                          <a:schemeClr val="tx1"/>
                        </a:solidFill>
                        <a:latin typeface="KZ Domain Display Black"/>
                      </a:rPr>
                      <a:pPr/>
                      <a:t>[ПРОЦЕНТ]</a:t>
                    </a:fld>
                    <a:endParaRPr lang="en-US" b="1" baseline="0" dirty="0">
                      <a:solidFill>
                        <a:schemeClr val="tx1"/>
                      </a:solidFill>
                      <a:latin typeface="KZ Domain Display Black"/>
                    </a:endParaRP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9B3-4BBA-8EC3-9E5F3CAD983C}"/>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занятость!$G$6:$J$6</c:f>
              <c:strCache>
                <c:ptCount val="4"/>
                <c:pt idx="0">
                  <c:v>ЮЛ МП, тыс. ед.</c:v>
                </c:pt>
                <c:pt idx="1">
                  <c:v>ИП, тыс. ед.</c:v>
                </c:pt>
                <c:pt idx="2">
                  <c:v>ЮЛ СП, тыс. ед.</c:v>
                </c:pt>
                <c:pt idx="3">
                  <c:v>КХ/ФХ, тыс. ед.</c:v>
                </c:pt>
              </c:strCache>
            </c:strRef>
          </c:cat>
          <c:val>
            <c:numRef>
              <c:f>занятость!$G$7:$J$7</c:f>
              <c:numCache>
                <c:formatCode>_-* #\ ##0_-;\-* #\ ##0_-;_-* "-"??_-;_-@_-</c:formatCode>
                <c:ptCount val="4"/>
                <c:pt idx="0">
                  <c:v>1728.7670000000001</c:v>
                </c:pt>
                <c:pt idx="1">
                  <c:v>1678.463</c:v>
                </c:pt>
                <c:pt idx="2">
                  <c:v>380.08100000000002</c:v>
                </c:pt>
                <c:pt idx="3">
                  <c:v>322.43</c:v>
                </c:pt>
              </c:numCache>
            </c:numRef>
          </c:val>
          <c:extLst>
            <c:ext xmlns:c16="http://schemas.microsoft.com/office/drawing/2014/chart" uri="{C3380CC4-5D6E-409C-BE32-E72D297353CC}">
              <c16:uniqueId val="{00000008-29B3-4BBA-8EC3-9E5F3CAD983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5792015512409735"/>
          <c:y val="0.75039938068120859"/>
          <c:w val="0.40263046589375007"/>
          <c:h val="0.231099311891383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вдс!$B$77</c:f>
              <c:strCache>
                <c:ptCount val="1"/>
                <c:pt idx="0">
                  <c:v> Валовый внутренний продукт,, млрд тенге </c:v>
                </c:pt>
              </c:strCache>
            </c:strRef>
          </c:tx>
          <c:spPr>
            <a:solidFill>
              <a:srgbClr val="00B050"/>
            </a:solidFill>
            <a:ln>
              <a:noFill/>
            </a:ln>
            <a:effectLst/>
          </c:spPr>
          <c:invertIfNegative val="0"/>
          <c:dLbls>
            <c:dLbl>
              <c:idx val="0"/>
              <c:layout>
                <c:manualLayout>
                  <c:x val="-4.2643923240938165E-3"/>
                  <c:y val="-3.9603960396039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F4-496A-A74F-A136E73DC08A}"/>
                </c:ext>
              </c:extLst>
            </c:dLbl>
            <c:dLbl>
              <c:idx val="1"/>
              <c:layout>
                <c:manualLayout>
                  <c:x val="-8.5287846481875949E-3"/>
                  <c:y val="-2.970297029702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4-496A-A74F-A136E73DC08A}"/>
                </c:ext>
              </c:extLst>
            </c:dLbl>
            <c:dLbl>
              <c:idx val="2"/>
              <c:layout>
                <c:manualLayout>
                  <c:x val="-8.528784648187673E-3"/>
                  <c:y val="-3.4653465346534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F4-496A-A74F-A136E73DC08A}"/>
                </c:ext>
              </c:extLst>
            </c:dLbl>
            <c:dLbl>
              <c:idx val="3"/>
              <c:layout>
                <c:manualLayout>
                  <c:x val="-8.5287846481876331E-3"/>
                  <c:y val="-1.980198019801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F4-496A-A74F-A136E73DC08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вдс!$C$77:$J$77</c:f>
              <c:numCache>
                <c:formatCode>_-* #\ ##0_-;\-* #\ ##0_-;_-* "-"??_-;_-@_-</c:formatCode>
                <c:ptCount val="8"/>
                <c:pt idx="0">
                  <c:v>23241</c:v>
                </c:pt>
                <c:pt idx="1">
                  <c:v>26490</c:v>
                </c:pt>
                <c:pt idx="2">
                  <c:v>32387</c:v>
                </c:pt>
                <c:pt idx="3">
                  <c:v>32725</c:v>
                </c:pt>
                <c:pt idx="4">
                  <c:v>42842</c:v>
                </c:pt>
                <c:pt idx="5">
                  <c:v>59222</c:v>
                </c:pt>
                <c:pt idx="6">
                  <c:v>68710</c:v>
                </c:pt>
                <c:pt idx="7">
                  <c:v>81920</c:v>
                </c:pt>
              </c:numCache>
            </c:numRef>
          </c:val>
          <c:extLst>
            <c:ext xmlns:c16="http://schemas.microsoft.com/office/drawing/2014/chart" uri="{C3380CC4-5D6E-409C-BE32-E72D297353CC}">
              <c16:uniqueId val="{00000004-DCF4-496A-A74F-A136E73DC08A}"/>
            </c:ext>
          </c:extLst>
        </c:ser>
        <c:ser>
          <c:idx val="0"/>
          <c:order val="1"/>
          <c:tx>
            <c:strRef>
              <c:f>вдс!$B$76</c:f>
              <c:strCache>
                <c:ptCount val="1"/>
                <c:pt idx="0">
                  <c:v> Выпуск продукции МСП, млрд тенге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вдс!$C$76:$J$76</c:f>
              <c:numCache>
                <c:formatCode>_-* #\ ##0_-;\-* #\ ##0_-;_-* "-"??_-;_-@_-</c:formatCode>
                <c:ptCount val="8"/>
                <c:pt idx="0">
                  <c:v>53101</c:v>
                </c:pt>
                <c:pt idx="1">
                  <c:v>61820</c:v>
                </c:pt>
                <c:pt idx="2">
                  <c:v>69533</c:v>
                </c:pt>
                <c:pt idx="3">
                  <c:v>70649</c:v>
                </c:pt>
                <c:pt idx="4">
                  <c:v>82208</c:v>
                </c:pt>
                <c:pt idx="5">
                  <c:v>103766</c:v>
                </c:pt>
                <c:pt idx="6">
                  <c:v>120561</c:v>
                </c:pt>
                <c:pt idx="7">
                  <c:v>135252</c:v>
                </c:pt>
              </c:numCache>
            </c:numRef>
          </c:val>
          <c:extLst>
            <c:ext xmlns:c16="http://schemas.microsoft.com/office/drawing/2014/chart" uri="{C3380CC4-5D6E-409C-BE32-E72D297353CC}">
              <c16:uniqueId val="{00000005-DCF4-496A-A74F-A136E73DC08A}"/>
            </c:ext>
          </c:extLst>
        </c:ser>
        <c:dLbls>
          <c:showLegendKey val="0"/>
          <c:showVal val="0"/>
          <c:showCatName val="0"/>
          <c:showSerName val="0"/>
          <c:showPercent val="0"/>
          <c:showBubbleSize val="0"/>
        </c:dLbls>
        <c:gapWidth val="150"/>
        <c:axId val="838914687"/>
        <c:axId val="1870930719"/>
      </c:barChart>
      <c:lineChart>
        <c:grouping val="standard"/>
        <c:varyColors val="0"/>
        <c:ser>
          <c:idx val="2"/>
          <c:order val="2"/>
          <c:tx>
            <c:strRef>
              <c:f>вдс!$B$78</c:f>
              <c:strCache>
                <c:ptCount val="1"/>
                <c:pt idx="0">
                  <c:v> Доля ВДС МСП в ВВП,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вдс!$C$78:$J$78</c:f>
              <c:numCache>
                <c:formatCode>General</c:formatCode>
                <c:ptCount val="8"/>
                <c:pt idx="0" formatCode="_-* #\ ##0.0_-;\-* #\ ##0.0_-;_-* &quot;-&quot;??_-;_-@_-">
                  <c:v>25.6</c:v>
                </c:pt>
                <c:pt idx="1">
                  <c:v>28.3</c:v>
                </c:pt>
                <c:pt idx="2">
                  <c:v>30.8</c:v>
                </c:pt>
                <c:pt idx="3">
                  <c:v>31.6</c:v>
                </c:pt>
                <c:pt idx="4">
                  <c:v>33.299999999999997</c:v>
                </c:pt>
                <c:pt idx="5">
                  <c:v>36.5</c:v>
                </c:pt>
                <c:pt idx="6">
                  <c:v>36.5</c:v>
                </c:pt>
                <c:pt idx="7">
                  <c:v>39.700000000000003</c:v>
                </c:pt>
              </c:numCache>
            </c:numRef>
          </c:val>
          <c:smooth val="0"/>
          <c:extLst>
            <c:ext xmlns:c16="http://schemas.microsoft.com/office/drawing/2014/chart" uri="{C3380CC4-5D6E-409C-BE32-E72D297353CC}">
              <c16:uniqueId val="{00000006-DCF4-496A-A74F-A136E73DC08A}"/>
            </c:ext>
          </c:extLst>
        </c:ser>
        <c:dLbls>
          <c:showLegendKey val="0"/>
          <c:showVal val="0"/>
          <c:showCatName val="0"/>
          <c:showSerName val="0"/>
          <c:showPercent val="0"/>
          <c:showBubbleSize val="0"/>
        </c:dLbls>
        <c:marker val="1"/>
        <c:smooth val="0"/>
        <c:axId val="1870928799"/>
        <c:axId val="1870927359"/>
      </c:lineChart>
      <c:catAx>
        <c:axId val="83891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70930719"/>
        <c:crosses val="autoZero"/>
        <c:auto val="1"/>
        <c:lblAlgn val="ctr"/>
        <c:lblOffset val="100"/>
        <c:noMultiLvlLbl val="0"/>
      </c:catAx>
      <c:valAx>
        <c:axId val="1870930719"/>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8914687"/>
        <c:crosses val="autoZero"/>
        <c:crossBetween val="between"/>
      </c:valAx>
      <c:valAx>
        <c:axId val="1870927359"/>
        <c:scaling>
          <c:orientation val="minMax"/>
          <c:max val="14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70928799"/>
        <c:crosses val="max"/>
        <c:crossBetween val="between"/>
      </c:valAx>
      <c:catAx>
        <c:axId val="1870928799"/>
        <c:scaling>
          <c:orientation val="minMax"/>
        </c:scaling>
        <c:delete val="1"/>
        <c:axPos val="b"/>
        <c:numFmt formatCode="General" sourceLinked="1"/>
        <c:majorTickMark val="none"/>
        <c:minorTickMark val="none"/>
        <c:tickLblPos val="nextTo"/>
        <c:crossAx val="18709273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'доля ср бизн'!$A$18</c:f>
              <c:strCache>
                <c:ptCount val="1"/>
                <c:pt idx="0">
                  <c:v>Выпуск подукции среднего предпринимательства, млрд тенге</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бизн'!$B$18:$K$18</c:f>
              <c:numCache>
                <c:formatCode>_-* #\ ##0_-;\-* #\ ##0_-;_-* "-"??_-;_-@_-</c:formatCode>
                <c:ptCount val="10"/>
                <c:pt idx="0">
                  <c:v>3077</c:v>
                </c:pt>
                <c:pt idx="1">
                  <c:v>3485</c:v>
                </c:pt>
                <c:pt idx="2">
                  <c:v>4046</c:v>
                </c:pt>
                <c:pt idx="3">
                  <c:v>5118</c:v>
                </c:pt>
                <c:pt idx="4">
                  <c:v>5929</c:v>
                </c:pt>
                <c:pt idx="5">
                  <c:v>6462</c:v>
                </c:pt>
                <c:pt idx="6">
                  <c:v>7681</c:v>
                </c:pt>
                <c:pt idx="7">
                  <c:v>9700</c:v>
                </c:pt>
                <c:pt idx="8">
                  <c:v>9565.3089999999993</c:v>
                </c:pt>
                <c:pt idx="9">
                  <c:v>13859.169</c:v>
                </c:pt>
              </c:numCache>
            </c:numRef>
          </c:val>
          <c:extLst>
            <c:ext xmlns:c16="http://schemas.microsoft.com/office/drawing/2014/chart" uri="{C3380CC4-5D6E-409C-BE32-E72D297353CC}">
              <c16:uniqueId val="{00000000-DB54-431B-A344-CB78F714DEED}"/>
            </c:ext>
          </c:extLst>
        </c:ser>
        <c:ser>
          <c:idx val="1"/>
          <c:order val="1"/>
          <c:tx>
            <c:strRef>
              <c:f>'доля ср бизн'!$A$19</c:f>
              <c:strCache>
                <c:ptCount val="1"/>
                <c:pt idx="0">
                  <c:v>Валовый внутренний продукт, млрд тенге</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бизн'!$B$19:$K$19</c:f>
              <c:numCache>
                <c:formatCode>_-* #\ ##0_-;\-* #\ ##0_-;_-* "-"??_-;_-@_-</c:formatCode>
                <c:ptCount val="10"/>
                <c:pt idx="0">
                  <c:v>40884</c:v>
                </c:pt>
                <c:pt idx="1">
                  <c:v>46971</c:v>
                </c:pt>
                <c:pt idx="2">
                  <c:v>53101</c:v>
                </c:pt>
                <c:pt idx="3">
                  <c:v>61820</c:v>
                </c:pt>
                <c:pt idx="4">
                  <c:v>69533</c:v>
                </c:pt>
                <c:pt idx="5">
                  <c:v>70649</c:v>
                </c:pt>
                <c:pt idx="6">
                  <c:v>82208</c:v>
                </c:pt>
                <c:pt idx="7">
                  <c:v>103766</c:v>
                </c:pt>
                <c:pt idx="8">
                  <c:v>120561.09639999999</c:v>
                </c:pt>
                <c:pt idx="9">
                  <c:v>134251.90479999999</c:v>
                </c:pt>
              </c:numCache>
            </c:numRef>
          </c:val>
          <c:extLst>
            <c:ext xmlns:c16="http://schemas.microsoft.com/office/drawing/2014/chart" uri="{C3380CC4-5D6E-409C-BE32-E72D297353CC}">
              <c16:uniqueId val="{00000001-DB54-431B-A344-CB78F714DEED}"/>
            </c:ext>
          </c:extLst>
        </c:ser>
        <c:dLbls>
          <c:showLegendKey val="0"/>
          <c:showVal val="0"/>
          <c:showCatName val="0"/>
          <c:showSerName val="0"/>
          <c:showPercent val="0"/>
          <c:showBubbleSize val="0"/>
        </c:dLbls>
        <c:gapWidth val="50"/>
        <c:axId val="1359705343"/>
        <c:axId val="1029667071"/>
      </c:barChart>
      <c:lineChart>
        <c:grouping val="standard"/>
        <c:varyColors val="0"/>
        <c:ser>
          <c:idx val="2"/>
          <c:order val="2"/>
          <c:tx>
            <c:strRef>
              <c:f>'доля ср бизн'!$A$20</c:f>
              <c:strCache>
                <c:ptCount val="1"/>
                <c:pt idx="0">
                  <c:v>Доля ВДС среднего предпринимательства в ВВП, %</c:v>
                </c:pt>
              </c:strCache>
            </c:strRef>
          </c:tx>
          <c:spPr>
            <a:ln w="28575" cap="rnd">
              <a:solidFill>
                <a:srgbClr val="EE0000"/>
              </a:solidFill>
              <a:round/>
            </a:ln>
            <a:effectLst/>
          </c:spPr>
          <c:marker>
            <c:symbol val="none"/>
          </c:marker>
          <c:dLbls>
            <c:spPr>
              <a:solidFill>
                <a:srgbClr val="EE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бизн'!$B$20:$K$20</c:f>
              <c:numCache>
                <c:formatCode>General</c:formatCode>
                <c:ptCount val="10"/>
                <c:pt idx="0">
                  <c:v>4.9000000000000004</c:v>
                </c:pt>
                <c:pt idx="1">
                  <c:v>4.7</c:v>
                </c:pt>
                <c:pt idx="2">
                  <c:v>4.5999999999999996</c:v>
                </c:pt>
                <c:pt idx="3">
                  <c:v>5.8</c:v>
                </c:pt>
                <c:pt idx="4">
                  <c:v>6.3</c:v>
                </c:pt>
                <c:pt idx="5">
                  <c:v>6.5</c:v>
                </c:pt>
                <c:pt idx="6">
                  <c:v>6.1</c:v>
                </c:pt>
                <c:pt idx="7">
                  <c:v>6.2</c:v>
                </c:pt>
                <c:pt idx="8">
                  <c:v>6.7</c:v>
                </c:pt>
                <c:pt idx="9" formatCode="0.0">
                  <c:v>7</c:v>
                </c:pt>
              </c:numCache>
            </c:numRef>
          </c:val>
          <c:smooth val="0"/>
          <c:extLst>
            <c:ext xmlns:c16="http://schemas.microsoft.com/office/drawing/2014/chart" uri="{C3380CC4-5D6E-409C-BE32-E72D297353CC}">
              <c16:uniqueId val="{00000002-DB54-431B-A344-CB78F714DEED}"/>
            </c:ext>
          </c:extLst>
        </c:ser>
        <c:dLbls>
          <c:showLegendKey val="0"/>
          <c:showVal val="0"/>
          <c:showCatName val="0"/>
          <c:showSerName val="0"/>
          <c:showPercent val="0"/>
          <c:showBubbleSize val="0"/>
        </c:dLbls>
        <c:marker val="1"/>
        <c:smooth val="0"/>
        <c:axId val="1029667551"/>
        <c:axId val="1029669951"/>
      </c:lineChart>
      <c:catAx>
        <c:axId val="135970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29667071"/>
        <c:crosses val="autoZero"/>
        <c:auto val="1"/>
        <c:lblAlgn val="ctr"/>
        <c:lblOffset val="100"/>
        <c:noMultiLvlLbl val="0"/>
      </c:catAx>
      <c:valAx>
        <c:axId val="1029667071"/>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59705343"/>
        <c:crosses val="autoZero"/>
        <c:crossBetween val="between"/>
        <c:majorUnit val="40000"/>
      </c:valAx>
      <c:valAx>
        <c:axId val="1029669951"/>
        <c:scaling>
          <c:orientation val="minMax"/>
          <c:max val="20"/>
          <c:min val="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29667551"/>
        <c:crosses val="max"/>
        <c:crossBetween val="between"/>
      </c:valAx>
      <c:catAx>
        <c:axId val="1029667551"/>
        <c:scaling>
          <c:orientation val="minMax"/>
        </c:scaling>
        <c:delete val="1"/>
        <c:axPos val="b"/>
        <c:numFmt formatCode="General" sourceLinked="1"/>
        <c:majorTickMark val="none"/>
        <c:minorTickMark val="none"/>
        <c:tickLblPos val="nextTo"/>
        <c:crossAx val="1029669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'1'!$A$147</c:f>
              <c:strCache>
                <c:ptCount val="1"/>
                <c:pt idx="0">
                  <c:v>КПН всех предприятий, млрд. тенге</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'1'!$B$147:$L$147</c:f>
              <c:numCache>
                <c:formatCode>#,##0</c:formatCode>
                <c:ptCount val="11"/>
                <c:pt idx="0">
                  <c:v>2022.046116</c:v>
                </c:pt>
                <c:pt idx="1">
                  <c:v>1725.544316</c:v>
                </c:pt>
                <c:pt idx="2">
                  <c:v>1670.553627</c:v>
                </c:pt>
                <c:pt idx="3">
                  <c:v>2396.9100079999998</c:v>
                </c:pt>
                <c:pt idx="4">
                  <c:v>3154.3347199999998</c:v>
                </c:pt>
                <c:pt idx="5">
                  <c:v>3515.8685770000002</c:v>
                </c:pt>
                <c:pt idx="6">
                  <c:v>2685.4743210000001</c:v>
                </c:pt>
                <c:pt idx="7">
                  <c:v>6337.9719800000003</c:v>
                </c:pt>
                <c:pt idx="8">
                  <c:v>6306.4210590000002</c:v>
                </c:pt>
                <c:pt idx="9">
                  <c:v>4987.0572270000002</c:v>
                </c:pt>
                <c:pt idx="10">
                  <c:v>5129.0591679999998</c:v>
                </c:pt>
              </c:numCache>
            </c:numRef>
          </c:val>
          <c:extLst>
            <c:ext xmlns:c16="http://schemas.microsoft.com/office/drawing/2014/chart" uri="{C3380CC4-5D6E-409C-BE32-E72D297353CC}">
              <c16:uniqueId val="{00000000-8A3B-4535-A51F-EDCBE42E7E18}"/>
            </c:ext>
          </c:extLst>
        </c:ser>
        <c:ser>
          <c:idx val="1"/>
          <c:order val="1"/>
          <c:tx>
            <c:strRef>
              <c:f>'1'!$A$148</c:f>
              <c:strCache>
                <c:ptCount val="1"/>
                <c:pt idx="0">
                  <c:v>КПН малых предприятий, млрд. тенге</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'1'!$B$148:$L$148</c:f>
              <c:numCache>
                <c:formatCode>#,##0</c:formatCode>
                <c:ptCount val="11"/>
                <c:pt idx="0">
                  <c:v>399.07441</c:v>
                </c:pt>
                <c:pt idx="1">
                  <c:v>505.681668</c:v>
                </c:pt>
                <c:pt idx="2">
                  <c:v>491.486807</c:v>
                </c:pt>
                <c:pt idx="3">
                  <c:v>628.698171</c:v>
                </c:pt>
                <c:pt idx="4">
                  <c:v>937.49897699999997</c:v>
                </c:pt>
                <c:pt idx="5">
                  <c:v>1245.8723319999999</c:v>
                </c:pt>
                <c:pt idx="6">
                  <c:v>1118.8783519999999</c:v>
                </c:pt>
                <c:pt idx="7">
                  <c:v>3381.5899549999999</c:v>
                </c:pt>
                <c:pt idx="8">
                  <c:v>2247.0147419999998</c:v>
                </c:pt>
                <c:pt idx="9">
                  <c:v>1941.0222220000001</c:v>
                </c:pt>
                <c:pt idx="10">
                  <c:v>1686.238611</c:v>
                </c:pt>
              </c:numCache>
            </c:numRef>
          </c:val>
          <c:extLst>
            <c:ext xmlns:c16="http://schemas.microsoft.com/office/drawing/2014/chart" uri="{C3380CC4-5D6E-409C-BE32-E72D297353CC}">
              <c16:uniqueId val="{00000001-8A3B-4535-A51F-EDCBE42E7E18}"/>
            </c:ext>
          </c:extLst>
        </c:ser>
        <c:dLbls>
          <c:showLegendKey val="0"/>
          <c:showVal val="0"/>
          <c:showCatName val="0"/>
          <c:showSerName val="0"/>
          <c:showPercent val="0"/>
          <c:showBubbleSize val="0"/>
        </c:dLbls>
        <c:gapWidth val="75"/>
        <c:axId val="1098897616"/>
        <c:axId val="1098898032"/>
      </c:barChart>
      <c:lineChart>
        <c:grouping val="stacked"/>
        <c:varyColors val="0"/>
        <c:ser>
          <c:idx val="2"/>
          <c:order val="2"/>
          <c:tx>
            <c:strRef>
              <c:f>'1'!$A$149</c:f>
              <c:strCache>
                <c:ptCount val="1"/>
                <c:pt idx="0">
                  <c:v>Доля КПН малых предприятий в общих поступлениях КПН, %</c:v>
                </c:pt>
              </c:strCache>
            </c:strRef>
          </c:tx>
          <c:spPr>
            <a:ln w="28575" cap="rnd">
              <a:solidFill>
                <a:srgbClr val="EE0000"/>
              </a:solidFill>
              <a:round/>
            </a:ln>
            <a:effectLst/>
          </c:spPr>
          <c:marker>
            <c:symbol val="circle"/>
            <c:size val="5"/>
            <c:spPr>
              <a:solidFill>
                <a:schemeClr val="accent3"/>
              </a:solidFill>
              <a:ln w="9525">
                <a:solidFill>
                  <a:srgbClr val="EE0000"/>
                </a:solidFill>
              </a:ln>
              <a:effectLst/>
            </c:spPr>
          </c:marker>
          <c:dLbls>
            <c:spPr>
              <a:solidFill>
                <a:srgbClr val="EE0000"/>
              </a:solidFill>
              <a:ln>
                <a:noFill/>
              </a:ln>
              <a:effectLst/>
            </c:spPr>
            <c:txPr>
              <a:bodyPr rot="0" spcFirstLastPara="1" vertOverflow="ellipsis" vert="horz" wrap="square" anchor="ctr" anchorCtr="1"/>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'1'!$B$149:$L$149</c:f>
              <c:numCache>
                <c:formatCode>0.0</c:formatCode>
                <c:ptCount val="11"/>
                <c:pt idx="0">
                  <c:v>19.7361675800672</c:v>
                </c:pt>
                <c:pt idx="1">
                  <c:v>29.305632043819386</c:v>
                </c:pt>
                <c:pt idx="2">
                  <c:v>29.420594409927315</c:v>
                </c:pt>
                <c:pt idx="3">
                  <c:v>26.229527554294396</c:v>
                </c:pt>
                <c:pt idx="4">
                  <c:v>29.720973207307562</c:v>
                </c:pt>
                <c:pt idx="5">
                  <c:v>35.435691201605451</c:v>
                </c:pt>
                <c:pt idx="6">
                  <c:v>41.664086796531315</c:v>
                </c:pt>
                <c:pt idx="7">
                  <c:v>53.354447852891894</c:v>
                </c:pt>
                <c:pt idx="8">
                  <c:v>35.630585414103408</c:v>
                </c:pt>
                <c:pt idx="9">
                  <c:v>38.921194075962831</c:v>
                </c:pt>
                <c:pt idx="10">
                  <c:v>32.876177789493575</c:v>
                </c:pt>
              </c:numCache>
            </c:numRef>
          </c:val>
          <c:smooth val="0"/>
          <c:extLst>
            <c:ext xmlns:c16="http://schemas.microsoft.com/office/drawing/2014/chart" uri="{C3380CC4-5D6E-409C-BE32-E72D297353CC}">
              <c16:uniqueId val="{00000002-8A3B-4535-A51F-EDCBE42E7E18}"/>
            </c:ext>
          </c:extLst>
        </c:ser>
        <c:dLbls>
          <c:showLegendKey val="0"/>
          <c:showVal val="0"/>
          <c:showCatName val="0"/>
          <c:showSerName val="0"/>
          <c:showPercent val="0"/>
          <c:showBubbleSize val="0"/>
        </c:dLbls>
        <c:marker val="1"/>
        <c:smooth val="0"/>
        <c:axId val="966122512"/>
        <c:axId val="966123760"/>
      </c:lineChart>
      <c:catAx>
        <c:axId val="109889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8898032"/>
        <c:crosses val="autoZero"/>
        <c:auto val="1"/>
        <c:lblAlgn val="ctr"/>
        <c:lblOffset val="100"/>
        <c:noMultiLvlLbl val="0"/>
      </c:catAx>
      <c:valAx>
        <c:axId val="1098898032"/>
        <c:scaling>
          <c:orientation val="minMax"/>
          <c:max val="7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8897616"/>
        <c:crosses val="autoZero"/>
        <c:crossBetween val="between"/>
        <c:majorUnit val="1300"/>
      </c:valAx>
      <c:valAx>
        <c:axId val="966123760"/>
        <c:scaling>
          <c:orientation val="minMax"/>
          <c:max val="70"/>
          <c:min val="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66122512"/>
        <c:crosses val="max"/>
        <c:crossBetween val="between"/>
      </c:valAx>
      <c:catAx>
        <c:axId val="966122512"/>
        <c:scaling>
          <c:orientation val="minMax"/>
        </c:scaling>
        <c:delete val="1"/>
        <c:axPos val="b"/>
        <c:numFmt formatCode="General" sourceLinked="1"/>
        <c:majorTickMark val="out"/>
        <c:minorTickMark val="none"/>
        <c:tickLblPos val="nextTo"/>
        <c:crossAx val="966123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0.26481</cdr:x>
      <cdr:y>0.38652</cdr:y>
    </cdr:from>
    <cdr:to>
      <cdr:x>0.45025</cdr:x>
      <cdr:y>0.56011</cdr:y>
    </cdr:to>
    <cdr:sp macro="" textlink="">
      <cdr:nvSpPr>
        <cdr:cNvPr id="2" name="Скругленный прямоугольник 1"/>
        <cdr:cNvSpPr/>
      </cdr:nvSpPr>
      <cdr:spPr>
        <a:xfrm xmlns:a="http://schemas.openxmlformats.org/drawingml/2006/main">
          <a:off x="1537240" y="750068"/>
          <a:ext cx="1076564" cy="336861"/>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500" b="1" dirty="0">
              <a:solidFill>
                <a:srgbClr val="C00000"/>
              </a:solidFill>
              <a:latin typeface="Times New Roman" panose="02020603050405020304" pitchFamily="18" charset="0"/>
              <a:cs typeface="Times New Roman" panose="02020603050405020304" pitchFamily="18" charset="0"/>
            </a:rPr>
            <a:t>2 109</a:t>
          </a:r>
        </a:p>
        <a:p xmlns:a="http://schemas.openxmlformats.org/drawingml/2006/main">
          <a:pPr algn="ctr"/>
          <a:r>
            <a:rPr lang="ru-RU" sz="1500" b="1" dirty="0">
              <a:solidFill>
                <a:schemeClr val="tx1"/>
              </a:solidFill>
              <a:latin typeface="Times New Roman" panose="02020603050405020304" pitchFamily="18" charset="0"/>
              <a:cs typeface="Times New Roman" panose="02020603050405020304" pitchFamily="18" charset="0"/>
            </a:rPr>
            <a:t>тыс. ед.</a:t>
          </a:r>
        </a:p>
      </cdr:txBody>
    </cdr:sp>
  </cdr:relSizeAnchor>
</c:userShapes>
</file>

<file path=word/drawings/drawing2.xml><?xml version="1.0" encoding="utf-8"?>
<c:userShapes xmlns:c="http://schemas.openxmlformats.org/drawingml/2006/chart">
  <cdr:relSizeAnchor xmlns:cdr="http://schemas.openxmlformats.org/drawingml/2006/chartDrawing">
    <cdr:from>
      <cdr:x>0.28681</cdr:x>
      <cdr:y>0.40116</cdr:y>
    </cdr:from>
    <cdr:to>
      <cdr:x>0.42249</cdr:x>
      <cdr:y>0.63656</cdr:y>
    </cdr:to>
    <cdr:sp macro="" textlink="">
      <cdr:nvSpPr>
        <cdr:cNvPr id="2" name="Скругленный прямоугольник 1">
          <a:extLst xmlns:a="http://schemas.openxmlformats.org/drawingml/2006/main">
            <a:ext uri="{FF2B5EF4-FFF2-40B4-BE49-F238E27FC236}">
              <a16:creationId xmlns:a16="http://schemas.microsoft.com/office/drawing/2014/main" id="{FD782C88-3137-E2FB-AFF4-1D39ED3FE6AE}"/>
            </a:ext>
          </a:extLst>
        </cdr:cNvPr>
        <cdr:cNvSpPr/>
      </cdr:nvSpPr>
      <cdr:spPr>
        <a:xfrm xmlns:a="http://schemas.openxmlformats.org/drawingml/2006/main">
          <a:off x="1781175" y="925195"/>
          <a:ext cx="842645" cy="542925"/>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rtlCol="0" anchor="ctr"/>
        <a:lstStyle xmlns:a="http://schemas.openxmlformats.org/drawingml/2006/main"/>
        <a:p xmlns:a="http://schemas.openxmlformats.org/drawingml/2006/main">
          <a:pPr algn="ctr">
            <a:spcAft>
              <a:spcPts val="0"/>
            </a:spcAft>
          </a:pPr>
          <a:r>
            <a:rPr lang="ru-RU" sz="1800" b="1" kern="1200">
              <a:solidFill>
                <a:srgbClr val="000000"/>
              </a:solidFill>
              <a:effectLst/>
              <a:latin typeface="Times New Roman" panose="02020603050405020304" pitchFamily="18" charset="0"/>
              <a:ea typeface="Times New Roman" panose="02020603050405020304" pitchFamily="18" charset="0"/>
            </a:rPr>
            <a:t>4 422</a:t>
          </a:r>
          <a:endParaRPr lang="ru-RU" sz="1200">
            <a:solidFill>
              <a:srgbClr val="00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ru-RU" sz="600" b="1" kern="1200">
              <a:solidFill>
                <a:srgbClr val="000000"/>
              </a:solidFill>
              <a:effectLst/>
              <a:latin typeface="Times New Roman" panose="02020603050405020304" pitchFamily="18" charset="0"/>
              <a:ea typeface="Times New Roman" panose="02020603050405020304" pitchFamily="18" charset="0"/>
            </a:rPr>
            <a:t>тыс. ед.</a:t>
          </a:r>
          <a:endParaRPr lang="ru-RU" sz="1200">
            <a:solidFill>
              <a:srgbClr val="000000"/>
            </a:solidFill>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0.33669</cdr:x>
      <cdr:y>0.30971</cdr:y>
    </cdr:from>
    <cdr:to>
      <cdr:x>0.66155</cdr:x>
      <cdr:y>0.56356</cdr:y>
    </cdr:to>
    <cdr:sp macro="" textlink="">
      <cdr:nvSpPr>
        <cdr:cNvPr id="2" name="TextBox 19"/>
        <cdr:cNvSpPr txBox="1"/>
      </cdr:nvSpPr>
      <cdr:spPr>
        <a:xfrm xmlns:a="http://schemas.openxmlformats.org/drawingml/2006/main">
          <a:off x="1652684" y="820085"/>
          <a:ext cx="1594546" cy="672186"/>
        </a:xfrm>
        <a:prstGeom xmlns:a="http://schemas.openxmlformats.org/drawingml/2006/main" prst="rect">
          <a:avLst/>
        </a:prstGeom>
        <a:noFill xmlns:a="http://schemas.openxmlformats.org/drawingml/2006/main"/>
      </cdr:spPr>
      <cdr:txBody>
        <a:bodyPr xmlns:a="http://schemas.openxmlformats.org/drawingml/2006/main" wrap="square" rtlCol="0" anchor="ctr" anchorCtr="0">
          <a:noAutofit/>
        </a:bodyPr>
        <a:lstStyle xmlns:a="http://schemas.openxmlformats.org/drawingml/2006/main">
          <a:defPPr>
            <a:defRPr lang="ru-RU"/>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en-US" sz="900" b="1" dirty="0">
              <a:latin typeface="Times New Roman" panose="02020603050405020304" pitchFamily="18" charset="0"/>
              <a:cs typeface="Times New Roman" panose="02020603050405020304" pitchFamily="18" charset="0"/>
            </a:rPr>
            <a:t>8,702 billion</a:t>
          </a:r>
        </a:p>
        <a:p xmlns:a="http://schemas.openxmlformats.org/drawingml/2006/main">
          <a:pPr algn="ctr"/>
          <a:r>
            <a:rPr lang="en-US" sz="900" b="1" dirty="0">
              <a:latin typeface="Times New Roman" panose="02020603050405020304" pitchFamily="18" charset="0"/>
              <a:cs typeface="Times New Roman" panose="02020603050405020304" pitchFamily="18" charset="0"/>
            </a:rPr>
            <a:t> tenge</a:t>
          </a:r>
        </a:p>
        <a:p xmlns:a="http://schemas.openxmlformats.org/drawingml/2006/main">
          <a:pPr algn="ctr"/>
          <a:r>
            <a:rPr lang="en-US" sz="900" b="1" dirty="0">
              <a:latin typeface="Times New Roman" panose="02020603050405020304" pitchFamily="18" charset="0"/>
              <a:cs typeface="Times New Roman" panose="02020603050405020304" pitchFamily="18" charset="0"/>
            </a:rPr>
            <a:t> Loan portfolio </a:t>
          </a:r>
        </a:p>
        <a:p xmlns:a="http://schemas.openxmlformats.org/drawingml/2006/main">
          <a:pPr algn="ctr"/>
          <a:r>
            <a:rPr lang="en-US" sz="900" b="1" dirty="0">
              <a:latin typeface="Times New Roman" panose="02020603050405020304" pitchFamily="18" charset="0"/>
              <a:cs typeface="Times New Roman" panose="02020603050405020304" pitchFamily="18" charset="0"/>
            </a:rPr>
            <a:t>of STBs </a:t>
          </a:r>
        </a:p>
        <a:p xmlns:a="http://schemas.openxmlformats.org/drawingml/2006/main">
          <a:pPr algn="ctr"/>
          <a:r>
            <a:rPr lang="en-US" sz="900" b="1" dirty="0">
              <a:latin typeface="Times New Roman" panose="02020603050405020304" pitchFamily="18" charset="0"/>
              <a:cs typeface="Times New Roman" panose="02020603050405020304" pitchFamily="18" charset="0"/>
            </a:rPr>
            <a:t>for SME loans</a:t>
          </a:r>
          <a:endParaRPr lang="ru-RU" sz="800" dirty="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55FB-AB45-4F1E-BBF3-2B75FA59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20907</Words>
  <Characters>122988</Characters>
  <Application>Microsoft Office Word</Application>
  <DocSecurity>0</DocSecurity>
  <Lines>2335</Lines>
  <Paragraphs>879</Paragraphs>
  <ScaleCrop>false</ScaleCrop>
  <HeadingPairs>
    <vt:vector size="2" baseType="variant">
      <vt:variant>
        <vt:lpstr>Название</vt:lpstr>
      </vt:variant>
      <vt:variant>
        <vt:i4>1</vt:i4>
      </vt:variant>
    </vt:vector>
  </HeadingPairs>
  <TitlesOfParts>
    <vt:vector size="1" baseType="lpstr">
      <vt:lpstr>Стратегия развития акционерного общества «Фонд развития предпринимательства «Даму» на 2014-2023 годы (утверждена решением Совета директоров АО «Фонд развития предпринимательства «Даму», приложение № 5 к протоколу заседания Совета директоров от 3 июля 2017</vt:lpstr>
    </vt:vector>
  </TitlesOfParts>
  <Company/>
  <LinksUpToDate>false</LinksUpToDate>
  <CharactersWithSpaces>143181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развития акционерного общества «Фонд развития предпринимательства «Даму» на 2014-2023 годы (утверждена решением Совета директоров АО «Фонд развития предпринимательства «Даму», приложение № 5 к протоколу заседания Совета директоров от 3 июля 2017 года № 80) (©Paragraph 2022)</dc:title>
  <dc:subject/>
  <dc:creator>Сергей Мельников</dc:creator>
  <cp:keywords/>
  <dc:description/>
  <cp:lastModifiedBy>Наталья Валерьевна Скакова</cp:lastModifiedBy>
  <cp:revision>2</cp:revision>
  <cp:lastPrinted>2025-06-25T06:51:00Z</cp:lastPrinted>
  <dcterms:created xsi:type="dcterms:W3CDTF">2025-11-12T10:47:00Z</dcterms:created>
  <dcterms:modified xsi:type="dcterms:W3CDTF">2025-11-12T10:47:00Z</dcterms:modified>
</cp:coreProperties>
</file>